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  <w:jc w:val="center"/>
      </w:pPr>
      <w:r>
        <w:rPr>
          <w:rFonts w:ascii="黑体" w:hAnsi="黑体" w:eastAsia="黑体"/>
          <w:b/>
          <w:sz w:val="36"/>
        </w:rPr>
        <w:t>3. AEO/GEO 恶性营销与 AI 语料投毒场景案</w:t>
      </w:r>
    </w:p>
    <w:p>
      <w:pPr>
        <w:spacing w:after="240"/>
        <w:jc w:val="center"/>
      </w:pPr>
      <w:r>
        <w:rPr>
          <w:rFonts w:ascii="楷体" w:hAnsi="楷体" w:eastAsia="楷体"/>
          <w:b w:val="0"/>
          <w:color w:val="666666"/>
          <w:sz w:val="24"/>
        </w:rPr>
        <w:t>所属场景：AI时代一体化数字营销、画像与广告推荐场景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CCCCCC"/>
          <w:sz w:val="20"/>
        </w:rPr>
        <w:t>——————————————————————————————</w:t>
      </w:r>
    </w:p>
    <w:p>
      <w:pPr>
        <w:spacing w:before="280" w:after="120"/>
      </w:pPr>
      <w:r>
        <w:rPr>
          <w:rFonts w:ascii="黑体" w:hAnsi="黑体" w:eastAsia="黑体"/>
          <w:b/>
          <w:color w:val="1F3A5F"/>
          <w:sz w:val="28"/>
        </w:rPr>
        <w:t>一、详细案情（原始材料）</w:t>
      </w:r>
    </w:p>
    <w:p>
      <w:pPr>
        <w:spacing w:line="360" w:lineRule="auto" w:after="120"/>
      </w:pPr>
      <w:r>
        <w:rPr>
          <w:rFonts w:ascii="宋体" w:hAnsi="宋体" w:eastAsia="宋体"/>
          <w:b/>
          <w:sz w:val="24"/>
        </w:rPr>
        <w:t>案例事实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AI时代内容创作进入AEO阶段，品牌需要使内容结构化、语义自洽，以适配AI检索与整合。但在实践中，也可能出现“互黑”模式：在AI上搜索某类产品时，竞争品牌被列入“黑榜”，并附带跳转链接至“十大差评榜”“五大消费者反映特别不好”等文章。公开报道还显示，GEO黑产可能通过批量伪造测评、虚构专家身份、植入隐蔽指令等方式影响大模型推荐结果。</w:t>
      </w:r>
    </w:p>
    <w:p>
      <w:pPr>
        <w:spacing w:line="360" w:lineRule="auto" w:after="120"/>
      </w:pPr>
      <w:r>
        <w:rPr>
          <w:rFonts w:ascii="宋体" w:hAnsi="宋体" w:eastAsia="宋体"/>
          <w:b/>
          <w:sz w:val="24"/>
        </w:rPr>
        <w:t>争议焦点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经营者能否通过批量生成虚假测评、伪造专业内容、操纵AI答案来获取流量或打击竞争对手；AI搜索和推荐结果被操纵时，广告主、内容服务商、平台和AI服务提供者如何划分责任。</w:t>
      </w:r>
    </w:p>
    <w:p>
      <w:pPr>
        <w:spacing w:line="360" w:lineRule="auto" w:after="120"/>
      </w:pPr>
      <w:r>
        <w:rPr>
          <w:rFonts w:ascii="宋体" w:hAnsi="宋体" w:eastAsia="宋体"/>
          <w:b/>
          <w:sz w:val="24"/>
        </w:rPr>
        <w:t>涉及法律条文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《反不正当竞争法》第二条、第八条、第十一条、第十二条；《广告法》第四条、第二十八条；《消费者权益保护法》第八条、第二十条；《互联网广告管理办法》关于互联网广告可识别性和真实性的规定；《生成式人工智能服务管理暂行办法》关于生成内容真实准确、尊重合法权益的原则性要求。</w:t>
      </w:r>
    </w:p>
    <w:p>
      <w:pPr>
        <w:spacing w:line="360" w:lineRule="auto" w:after="120"/>
      </w:pPr>
      <w:r>
        <w:rPr>
          <w:rFonts w:ascii="宋体" w:hAnsi="宋体" w:eastAsia="宋体"/>
          <w:b/>
          <w:sz w:val="24"/>
        </w:rPr>
        <w:t>法院判决/处理结果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若进入司法程序，可能从虚假宣传、商业诋毁、流量劫持、数据抓取不正当竞争、消费者知情权侵害等路径认定责任；相关平台也可能被要求删除违法内容、停止不正当竞争、消除影响并赔偿损失。</w:t>
      </w:r>
    </w:p>
    <w:p>
      <w:pPr>
        <w:spacing w:line="360" w:lineRule="auto" w:after="120"/>
      </w:pPr>
      <w:r>
        <w:rPr>
          <w:rFonts w:ascii="宋体" w:hAnsi="宋体" w:eastAsia="宋体"/>
          <w:b/>
          <w:sz w:val="24"/>
        </w:rPr>
        <w:t>法律问题分析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当AI助手成为流量入口，经营者通过伪造语料影响AI输出，本质上仍是面向消费者和市场的商业表达。其法律评价要看是否造成消费者误认、是否损害竞争对手商誉、是否破坏公平竞争秩序。</w:t>
      </w:r>
    </w:p>
    <w:p>
      <w:pPr>
        <w:spacing w:before="280" w:after="120"/>
      </w:pPr>
      <w:r>
        <w:rPr>
          <w:rFonts w:ascii="黑体" w:hAnsi="黑体" w:eastAsia="黑体"/>
          <w:b/>
          <w:color w:val="1F3A5F"/>
          <w:sz w:val="28"/>
        </w:rPr>
        <w:t>二、具体案情提炼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经营者通过伪造测评、批量生成内容、操纵搜索或 AI 助手语料，使 AI 输出倾向性推荐、贬损竞争对手或制造虚假口碑。材料将其作为 AI 流量入口下的恶性营销案例。</w:t>
      </w:r>
    </w:p>
    <w:p>
      <w:pPr>
        <w:spacing w:before="280" w:after="120"/>
      </w:pPr>
      <w:r>
        <w:rPr>
          <w:rFonts w:ascii="黑体" w:hAnsi="黑体" w:eastAsia="黑体"/>
          <w:b/>
          <w:color w:val="1F3A5F"/>
          <w:sz w:val="28"/>
        </w:rPr>
        <w:t>三、涉案法条/规范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《反不正当竞争法》第2条、第8条、第11条、第12条；《广告法》第4条、第28条；《互联网广告管理办法》；生成式人工智能服务相关管理规则。</w:t>
      </w:r>
    </w:p>
    <w:p>
      <w:pPr>
        <w:spacing w:before="280" w:after="120"/>
      </w:pPr>
      <w:r>
        <w:rPr>
          <w:rFonts w:ascii="黑体" w:hAnsi="黑体" w:eastAsia="黑体"/>
          <w:b/>
          <w:color w:val="1F3A5F"/>
          <w:sz w:val="28"/>
        </w:rPr>
        <w:t>四、案例分析与合规启示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AI 助手成为流量入口后，伪造语料本质仍是面向消费者和市场的商业表达。评价重点在于是否造成误认、损害竞争对手商誉、破坏公平竞争秩序。</w:t>
      </w:r>
    </w:p>
    <w:p>
      <w:pPr>
        <w:spacing w:before="480"/>
        <w:jc w:val="center"/>
      </w:pPr>
      <w:r>
        <w:rPr>
          <w:rFonts w:ascii="宋体" w:hAnsi="宋体" w:eastAsia="宋体"/>
          <w:b w:val="0"/>
          <w:color w:val="999999"/>
          <w:sz w:val="20"/>
        </w:rPr>
        <w:t>场景6 · 案例3 · 个人信息数据特殊适用场景案例拆分</w:t>
      </w:r>
    </w:p>
    <w:sectPr w:rsidR="00FC693F" w:rsidRPr="0006063C" w:rsidSect="00034616">
      <w:pgSz w:w="12240" w:h="15840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