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抖音诉亿睿科 AI 模型侵权案</w:t>
      </w:r>
    </w:p>
    <w:p>
      <w:pPr>
        <w:spacing w:after="240"/>
        <w:jc w:val="center"/>
      </w:pPr>
      <w:r>
        <w:rPr>
          <w:rFonts w:ascii="楷体" w:hAnsi="楷体" w:eastAsia="楷体"/>
          <w:b w:val="0"/>
          <w:color w:val="666666"/>
          <w:sz w:val="24"/>
        </w:rPr>
        <w:t>所属场景：AIGC竞争法保护与反垄断治理场景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案情摘要】北京抖音科技有限公司于2020年上线“变身漫画特效”，能够将用户照片或视频实时转换为漫画风格。该功能上线后形成较大用户规模和播放量。亿睿科公司随后在B612咔叽App上线“少女漫画特效”，功能和视觉效果与抖音特效高度相似。技术比对显示，两款特效在整体网络结构、非相邻子网络连接关系、卷积层层数等方面高度一致，36个卷积层中有33个数据完全一致，相似比例达到91.7%。</w:t>
      </w:r>
    </w:p>
    <w:p>
      <w:pPr>
        <w:spacing w:line="360" w:lineRule="auto" w:after="120"/>
        <w:ind w:firstLine="420"/>
      </w:pPr>
      <w:r>
        <w:rPr>
          <w:rFonts w:ascii="宋体" w:hAnsi="宋体" w:eastAsia="宋体"/>
          <w:b w:val="0"/>
          <w:sz w:val="24"/>
        </w:rPr>
        <w:t>【争议焦点】</w:t>
      </w:r>
    </w:p>
    <w:p>
      <w:pPr>
        <w:spacing w:line="360" w:lineRule="auto" w:after="120"/>
        <w:ind w:firstLine="420"/>
      </w:pPr>
      <w:r>
        <w:rPr>
          <w:rFonts w:ascii="宋体" w:hAnsi="宋体" w:eastAsia="宋体"/>
          <w:b w:val="0"/>
          <w:sz w:val="24"/>
        </w:rPr>
        <w:t>AI模型结构和参数能否作为受法律保护的竞争性经营利益。</w:t>
      </w:r>
    </w:p>
    <w:p>
      <w:pPr>
        <w:spacing w:line="360" w:lineRule="auto" w:after="120"/>
        <w:ind w:firstLine="420"/>
      </w:pPr>
      <w:r>
        <w:rPr>
          <w:rFonts w:ascii="宋体" w:hAnsi="宋体" w:eastAsia="宋体"/>
          <w:b w:val="0"/>
          <w:sz w:val="24"/>
        </w:rPr>
        <w:t>该类模型成果是否能够通过著作权法保护，或者应当主要通过《反不正当竞争法》第二条一般条款评价。</w:t>
      </w:r>
    </w:p>
    <w:p>
      <w:pPr>
        <w:spacing w:line="360" w:lineRule="auto" w:after="120"/>
        <w:ind w:firstLine="420"/>
      </w:pPr>
      <w:r>
        <w:rPr>
          <w:rFonts w:ascii="宋体" w:hAnsi="宋体" w:eastAsia="宋体"/>
          <w:b w:val="0"/>
          <w:sz w:val="24"/>
        </w:rPr>
        <w:t>在技术比对高度相似的情况下，如何认定被告是否存在复制、搭便车以及是否具有合法来源。</w:t>
      </w:r>
    </w:p>
    <w:p>
      <w:pPr>
        <w:spacing w:line="360" w:lineRule="auto" w:after="120"/>
        <w:ind w:firstLine="420"/>
      </w:pPr>
      <w:r>
        <w:rPr>
          <w:rFonts w:ascii="宋体" w:hAnsi="宋体" w:eastAsia="宋体"/>
          <w:b w:val="0"/>
          <w:sz w:val="24"/>
        </w:rPr>
        <w:t>【分析过程】</w:t>
      </w:r>
    </w:p>
    <w:p>
      <w:pPr>
        <w:spacing w:line="360" w:lineRule="auto" w:after="120"/>
        <w:ind w:firstLine="420"/>
      </w:pPr>
      <w:r>
        <w:rPr>
          <w:rFonts w:ascii="宋体" w:hAnsi="宋体" w:eastAsia="宋体"/>
          <w:b w:val="0"/>
          <w:sz w:val="24"/>
        </w:rPr>
        <w:t>法院首先明确适用依据。被诉行为发生在2019年《反不正当竞争法》施行后，本案适用2019年《反不正当竞争法》。二审阶段，双方未再就著作权侵权问题上诉，法院确认一审关于著作权不成立的处理，将审查重点放在《反不正当竞争法》第二条一般条款。该条要求经营者遵循自愿、平等、公平、诚信原则，遵守法律和商业道德；《最高人民法院关于适用〈反不正当竞争法〉若干问题的解释》第一条也规定，相关行为不属于知识产权专门法和反不正当竞争法第二章具体条款调整，但扰乱市场竞争秩序、损害他人合法权益的，可以适用第二条评价。</w:t>
      </w:r>
    </w:p>
    <w:p>
      <w:pPr>
        <w:spacing w:line="360" w:lineRule="auto" w:after="120"/>
        <w:ind w:firstLine="420"/>
      </w:pPr>
      <w:r>
        <w:rPr>
          <w:rFonts w:ascii="宋体" w:hAnsi="宋体" w:eastAsia="宋体"/>
          <w:b w:val="0"/>
          <w:sz w:val="24"/>
        </w:rPr>
        <w:t>法院随后归纳第二条的适用要件：一是双方存在竞争关系；二是原告享有应受反不正当竞争法保护的经营利益；三是被诉行为违反法律和公认商业道德，具有不正当性；四是行为损害其他经营者合法权益；五是行为扰乱市场竞争秩序、损害消费者合法权益；六是该行为不属于专门法或反不正当竞争法具体条款已经调整的情形。本案中，双方均通过App为用户提供视频、照片拍摄及特效服务，具有直接竞争关系；涉案行为也不属于著作权法、商标法、专利法或反不正当竞争法第二章具体条款可以直接评价的类型。</w:t>
      </w:r>
    </w:p>
    <w:p>
      <w:pPr>
        <w:spacing w:line="360" w:lineRule="auto" w:after="120"/>
        <w:ind w:firstLine="420"/>
      </w:pPr>
      <w:r>
        <w:rPr>
          <w:rFonts w:ascii="宋体" w:hAnsi="宋体" w:eastAsia="宋体"/>
          <w:b w:val="0"/>
          <w:sz w:val="24"/>
        </w:rPr>
        <w:t>关于原告是否享有可保护的竞争利益，法院认为应结合被诉行为具体判断，不能抽象地说某个产品或技术当然受保护。抖音公司主张保护的核心是“变身漫画特效”的模型结构和参数。该模型经过风格设定、手绘训练数据制作、模型训练、参数调校和多轮迭代形成。证据显示，原告组织手绘师绘制五万余张漫画训练数据，并持续调整模型结构和参数，使模型能够生成与真人具有对应关系的漫画形象。该模型结构和参数凝结了研发投入、数据训练成本和算法调优成果，能够为原告带来创新优势、经营收益和市场利益，因此属于《反不正当竞争法》第二条保护的竞争利益。</w:t>
      </w:r>
    </w:p>
    <w:p>
      <w:pPr>
        <w:spacing w:line="360" w:lineRule="auto" w:after="120"/>
        <w:ind w:firstLine="420"/>
      </w:pPr>
      <w:r>
        <w:rPr>
          <w:rFonts w:ascii="宋体" w:hAnsi="宋体" w:eastAsia="宋体"/>
          <w:b w:val="0"/>
          <w:sz w:val="24"/>
        </w:rPr>
        <w:t>关于训练数据合法性的抗辩，法院没有将其作为否定竞争利益的理由。被告主张原告使用的人脸照片数据来源违法，但法院认为，本案保护对象是经过训练和调校形成的模型结构及参数，被告未证明训练数据取得问题与原告选择、形成特定模型结构和参数之间存在直接关系。因此，该抗辩不能否定原告就模型结构和参数享有的竞争利益。</w:t>
      </w:r>
    </w:p>
    <w:p>
      <w:pPr>
        <w:spacing w:line="360" w:lineRule="auto" w:after="120"/>
        <w:ind w:firstLine="420"/>
      </w:pPr>
      <w:r>
        <w:rPr>
          <w:rFonts w:ascii="宋体" w:hAnsi="宋体" w:eastAsia="宋体"/>
          <w:b w:val="0"/>
          <w:sz w:val="24"/>
        </w:rPr>
        <w:t>关于行为不正当性，法院提出人工智能模型研发经营领域的基本商业道德：经营者不得未经许可直接使用他人通过数据训练和改进形成的模型结构和参数。法院从“接触可能性”和“高度相似性”两方面判断被告行为。首先，变身漫画特效上线早于少女漫画特效，且涉案模型随App发放至用户终端并在本地运行，技术人员可以通过技术手段提取和解密模型，因此被告具有接触可能性。其次，技术比对显示，双方模型整体网络结构、非相邻子网络连接关系、卷积层层数、升采样位置等均一致，36个卷积层中有33个数据完全一致，相似比例达到91.7%，差异部分对最终成像效果影响很小。</w:t>
      </w:r>
    </w:p>
    <w:p>
      <w:pPr>
        <w:spacing w:line="360" w:lineRule="auto" w:after="120"/>
        <w:ind w:firstLine="420"/>
      </w:pPr>
      <w:r>
        <w:rPr>
          <w:rFonts w:ascii="宋体" w:hAnsi="宋体" w:eastAsia="宋体"/>
          <w:b w:val="0"/>
          <w:sz w:val="24"/>
        </w:rPr>
        <w:t>法院还强调，被告未提交能够证明独立研发、模型训练过程、数据集来源或实质性差异的证据。其关于开源GAN模型的抗辩也未能成立，因为其未证明涉案模型来源于开源许可范围，亦未证明高度相似的结构和参数能够由正常独立研发自然产生。综合接触可能性、模型结构和参数高度一致、差异影响有限、被告缺乏合法来源说明等因素，法院认定被告直接使用了原告变身漫画特效模型的核心结构和参数。</w:t>
      </w:r>
    </w:p>
    <w:p>
      <w:pPr>
        <w:spacing w:line="360" w:lineRule="auto" w:after="120"/>
        <w:ind w:firstLine="420"/>
      </w:pPr>
      <w:r>
        <w:rPr>
          <w:rFonts w:ascii="宋体" w:hAnsi="宋体" w:eastAsia="宋体"/>
          <w:b w:val="0"/>
          <w:sz w:val="24"/>
        </w:rPr>
        <w:t>关于损害后果，法院认为，少女漫画特效与变身漫画特效在成像效果、用户群体、目标市场和提供方式上高度重合，具有较强替代作用。被告直接使用他人已经投入大量人力、物力、财力形成的模型结构和参数，节省了训练数据绘制、模型训练和算法调优成本，在短时间内突破原告通过研发投入形成的技术壁垒，并与原告争夺用户流量和市场机会，损害了原告的竞争利益。该行为也会削弱AI模型研发领域的创新激励，扰乱正常市场竞争秩序。</w:t>
      </w:r>
    </w:p>
    <w:p>
      <w:pPr>
        <w:spacing w:line="360" w:lineRule="auto" w:after="120"/>
        <w:ind w:firstLine="420"/>
      </w:pPr>
      <w:r>
        <w:rPr>
          <w:rFonts w:ascii="宋体" w:hAnsi="宋体" w:eastAsia="宋体"/>
          <w:b w:val="0"/>
          <w:sz w:val="24"/>
        </w:rPr>
        <w:t>关于赔偿，法院适用《反不正当竞争法》第十七条。由于原告实际损失和被告获利均难以精确计算，法院综合考虑抖音App下载量、变身漫画特效使用量和播放量、研发成本、市场热度、被告经营规模、B612咔叽App下载量、少女漫画特效上线周期处于原告特效推广热度期等因素，酌定经济损失150万元；同时根据合理性、必要性、关联性原则，酌定合理开支10万元。二审认为一审认定事实和赔偿数额并无明显不当，维持原判。</w:t>
      </w:r>
    </w:p>
    <w:p>
      <w:pPr>
        <w:spacing w:line="360" w:lineRule="auto" w:after="120"/>
        <w:ind w:firstLine="420"/>
      </w:pPr>
      <w:r>
        <w:rPr>
          <w:rFonts w:ascii="宋体" w:hAnsi="宋体" w:eastAsia="宋体"/>
          <w:b w:val="0"/>
          <w:sz w:val="24"/>
        </w:rPr>
        <w:t>【法律规定适用】</w:t>
      </w:r>
    </w:p>
    <w:p>
      <w:pPr>
        <w:spacing w:line="360" w:lineRule="auto" w:after="120"/>
        <w:ind w:firstLine="420"/>
      </w:pPr>
      <w:r>
        <w:rPr>
          <w:rFonts w:ascii="宋体" w:hAnsi="宋体" w:eastAsia="宋体"/>
          <w:b w:val="0"/>
          <w:sz w:val="24"/>
        </w:rPr>
        <w:t>《中华人民共和国反不正当竞争法》第二条</w:t>
      </w:r>
    </w:p>
    <w:p>
      <w:pPr>
        <w:spacing w:line="360" w:lineRule="auto" w:after="120"/>
        <w:ind w:firstLine="420"/>
      </w:pPr>
      <w:r>
        <w:rPr>
          <w:rFonts w:ascii="宋体" w:hAnsi="宋体" w:eastAsia="宋体"/>
          <w:b w:val="0"/>
          <w:sz w:val="24"/>
        </w:rPr>
        <w:t>《中华人民共和国反不正当竞争法》第十七条</w:t>
      </w:r>
    </w:p>
    <w:p>
      <w:pPr>
        <w:spacing w:line="360" w:lineRule="auto" w:after="120"/>
        <w:ind w:firstLine="420"/>
      </w:pPr>
      <w:r>
        <w:rPr>
          <w:rFonts w:ascii="宋体" w:hAnsi="宋体" w:eastAsia="宋体"/>
          <w:b w:val="0"/>
          <w:sz w:val="24"/>
        </w:rPr>
        <w:t>《最高人民法院关于适用〈中华人民共和国反不正当竞争法〉若干问题的解释》第一条</w:t>
      </w:r>
    </w:p>
    <w:p>
      <w:pPr>
        <w:spacing w:line="360" w:lineRule="auto" w:after="120"/>
        <w:ind w:firstLine="420"/>
      </w:pPr>
      <w:r>
        <w:rPr>
          <w:rFonts w:ascii="宋体" w:hAnsi="宋体" w:eastAsia="宋体"/>
          <w:b w:val="0"/>
          <w:sz w:val="24"/>
        </w:rPr>
        <w:t>《中华人民共和国著作权法》第三条</w:t>
      </w:r>
    </w:p>
    <w:p>
      <w:pPr>
        <w:spacing w:line="360" w:lineRule="auto" w:after="120"/>
        <w:ind w:firstLine="420"/>
      </w:pPr>
      <w:r>
        <w:rPr>
          <w:rFonts w:ascii="宋体" w:hAnsi="宋体" w:eastAsia="宋体"/>
          <w:b w:val="0"/>
          <w:sz w:val="24"/>
        </w:rPr>
        <w:t>《中华人民共和国著作权法实施条例》第三条</w:t>
      </w:r>
    </w:p>
    <w:p>
      <w:pPr>
        <w:spacing w:line="360" w:lineRule="auto" w:after="120"/>
        <w:ind w:firstLine="420"/>
      </w:pPr>
      <w:r>
        <w:rPr>
          <w:rFonts w:ascii="宋体" w:hAnsi="宋体" w:eastAsia="宋体"/>
          <w:b w:val="0"/>
          <w:sz w:val="24"/>
        </w:rPr>
        <w:t>《最高人民法院关于民事诉讼证据的若干规定》第五十一条</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抖音上线“变身漫画特效”后，亿睿科在 B612 咔叽上线“少女漫画特效”。技术比对显示两款特效在网络结构、非相邻子网络连接、卷积层层数等方面高度一致，36 个卷积层中 33 个数据完全一致，相似比例约 91.7%。</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《反不正当竞争法》第2条、第17条；《最高人民法院关于适用〈反不正当竞争法〉若干问题的解释》第1条；《著作权法》第3条及实施条例相关规则。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法院未以著作权保护为核心，而是将模型结构与参数作为凝结研发投入、训练数据和调优成果的竞争性经营利益，通过反不正当竞争法一般条款予以评价。</w:t>
      </w:r>
    </w:p>
    <w:p>
      <w:pPr>
        <w:spacing w:before="480"/>
        <w:jc w:val="center"/>
      </w:pPr>
      <w:r>
        <w:rPr>
          <w:rFonts w:ascii="宋体" w:hAnsi="宋体" w:eastAsia="宋体"/>
          <w:b w:val="0"/>
          <w:color w:val="999999"/>
          <w:sz w:val="20"/>
        </w:rPr>
        <w:t>场景7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