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黑体" w:hAnsi="黑体" w:eastAsia="黑体"/>
          <w:b/>
          <w:sz w:val="36"/>
        </w:rPr>
        <w:t>2. AI 生成虚假测评不正当竞争案</w:t>
      </w:r>
    </w:p>
    <w:p>
      <w:pPr>
        <w:spacing w:after="240"/>
        <w:jc w:val="center"/>
      </w:pPr>
      <w:r>
        <w:rPr>
          <w:rFonts w:ascii="楷体" w:hAnsi="楷体" w:eastAsia="楷体"/>
          <w:b w:val="0"/>
          <w:color w:val="666666"/>
          <w:sz w:val="24"/>
        </w:rPr>
        <w:t>所属场景：AIGC竞争法保护与反垄断治理场景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CCCCCC"/>
          <w:sz w:val="20"/>
        </w:rPr>
        <w:t>——————————————————————————————</w:t>
      </w:r>
    </w:p>
    <w:p>
      <w:pPr>
        <w:spacing w:before="280" w:after="120"/>
      </w:pPr>
      <w:r>
        <w:rPr>
          <w:rFonts w:ascii="黑体" w:hAnsi="黑体" w:eastAsia="黑体"/>
          <w:b/>
          <w:color w:val="1F3A5F"/>
          <w:sz w:val="28"/>
        </w:rPr>
        <w:t>一、详细案情（原始材料）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案情摘要】天泓公司与强晟公司均从事进销存软件相关业务。强晟公司搭建“AI测评文章生产线”，先以“进销存”等词根批量生成长尾关键词，再将关键词交由AI工具自动生成大量测评文章，并发布在公司网站中，同时植入自家产品链接。文章表面上是对同行软件的测评，实际并未基于真实软件使用体验形成观点，而是借助同行关键词获取搜索流量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【争议焦点】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批量AI生成的“测评文章”是否属于真实、客观的产品评价。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经营者能否以内容由AI生成、工具具有技术中立性为由主张免责。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在搜索引擎场景下，大量使用同行企业名称和产品关键词并导向自家网站，是否构成不正当竞争。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【分析过程】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法院首先确认，经营者可以评价同行产品、服务，同行评价本身具有规范行业经营的作用，但评价内容必须客观、真实。强晟公司发布的文章虽然表面上是软件介绍和测评，也没有直接诋毁天泓公司，但文章全部由AI批量生成，缺少真实使用体验和客观评价基础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法院进一步分析行为目的。强晟公司先围绕“进销存”等词根批量生成长尾关键词，再让AI生成文章，并在文章页面前后植入自家软件介绍和官网链接。该模式具有明确商业推广目的，实质是借同行软件关键词吸引搜索流量，再将用户导向自家产品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关于竞争损害，法院认为，用户搜索天泓公司或其他同行软件时，可能被这些AI测评文章引流至强晟公司网站。这会降低同行经营者的用户流量和交易机会，损害其经营利益。即使文章没有直接贬损同行，也会通过关键词占位和引流方式改变用户选择路径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关于消费者和公共利益，法院指出，强晟公司批量发布低质AI文章，会造成信息污染，增加消费者获取真实、准确信息的难度。该行为影响的对象不限于天泓公司，还包括行业内其他经营者和正常市场信息环境。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关于AI工具使用的评价，法院关注的重点是经营者如何使用AI参与市场竞争。判断标准包括技术应用是否违背商业道德、是否破坏竞争秩序。强晟公司主动设计关键词、生成文章、发布内容并设置引流链接，应对该商业利用方式承担责任，不能以文章由AI生成来排除不正当性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综上，法院认定强晟公司利用AI批量生成软文、广撒网式引流，违反诚实信用原则和商业道德，突破公平竞争边界，构成不正当竞争，应停止相关行为并赔偿经济损失及合理开支。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【法律规定适用】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《中华人民共和国反不正当竞争法》第二条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《中华人民共和国反不正当竞争法》第十七条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《最高人民法院关于适用〈中华人民共和国反不正当竞争法〉若干问题的解释》第一条</w:t>
      </w:r>
    </w:p>
    <w:p>
      <w:pPr>
        <w:spacing w:before="280" w:after="120"/>
      </w:pPr>
      <w:r>
        <w:rPr>
          <w:rFonts w:ascii="黑体" w:hAnsi="黑体" w:eastAsia="黑体"/>
          <w:b/>
          <w:color w:val="1F3A5F"/>
          <w:sz w:val="28"/>
        </w:rPr>
        <w:t>二、具体案情提炼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经营者利用 AI 批量生成缺乏真实体验的测评、种草、对比文章或短视频，为自身引流并影响消费者判断，可能同时伴随虚假宣传、商业诋毁和流量劫持。</w:t>
      </w:r>
    </w:p>
    <w:p>
      <w:pPr>
        <w:spacing w:before="280" w:after="120"/>
      </w:pPr>
      <w:r>
        <w:rPr>
          <w:rFonts w:ascii="黑体" w:hAnsi="黑体" w:eastAsia="黑体"/>
          <w:b/>
          <w:color w:val="1F3A5F"/>
          <w:sz w:val="28"/>
        </w:rPr>
        <w:t>三、涉案法条/规范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《反不正当竞争法》第2条、第8条、第11条；《广告法》第4条、第28条；《电子商务法》第17条；生成式人工智能服务相关管理规则。</w:t>
      </w:r>
    </w:p>
    <w:p>
      <w:pPr>
        <w:spacing w:before="280" w:after="120"/>
      </w:pPr>
      <w:r>
        <w:rPr>
          <w:rFonts w:ascii="黑体" w:hAnsi="黑体" w:eastAsia="黑体"/>
          <w:b/>
          <w:color w:val="1F3A5F"/>
          <w:sz w:val="28"/>
        </w:rPr>
        <w:t>四、案例分析与合规启示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技术中立不等于免责。经营者选择、发布、利用 AI 内容进行市场竞争，应保证测评真实、来源透明，不得伪装普通用户体验或抹黑竞争对手。</w:t>
      </w:r>
    </w:p>
    <w:p>
      <w:pPr>
        <w:spacing w:before="480"/>
        <w:jc w:val="center"/>
      </w:pPr>
      <w:r>
        <w:rPr>
          <w:rFonts w:ascii="宋体" w:hAnsi="宋体" w:eastAsia="宋体"/>
          <w:b w:val="0"/>
          <w:color w:val="999999"/>
          <w:sz w:val="20"/>
        </w:rPr>
        <w:t>场景7 · 案例2 · 个人信息数据特殊适用场景案例拆分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