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黑体" w:hAnsi="黑体" w:eastAsia="黑体"/>
          <w:b/>
          <w:sz w:val="36"/>
        </w:rPr>
        <w:t>1. 岳某侮辱案（检例第138号）</w:t>
      </w:r>
    </w:p>
    <w:p>
      <w:pPr>
        <w:spacing w:after="240"/>
        <w:jc w:val="center"/>
      </w:pPr>
      <w:r>
        <w:rPr>
          <w:rFonts w:ascii="楷体" w:hAnsi="楷体" w:eastAsia="楷体"/>
          <w:b w:val="0"/>
          <w:color w:val="666666"/>
          <w:sz w:val="24"/>
        </w:rPr>
        <w:t>所属场景：网络暴力、中国治理与人格权益保护场景</w:t>
      </w:r>
    </w:p>
    <w:p>
      <w:pPr>
        <w:spacing w:after="200"/>
        <w:jc w:val="center"/>
      </w:pPr>
      <w:r>
        <w:rPr>
          <w:rFonts w:ascii="宋体" w:hAnsi="宋体" w:eastAsia="宋体"/>
          <w:b w:val="0"/>
          <w:color w:val="CCCCCC"/>
          <w:sz w:val="20"/>
        </w:rPr>
        <w:t>——————————————————————————————</w:t>
      </w:r>
    </w:p>
    <w:p>
      <w:pPr>
        <w:spacing w:before="280" w:after="120"/>
      </w:pPr>
      <w:r>
        <w:rPr>
          <w:rFonts w:ascii="黑体" w:hAnsi="黑体" w:eastAsia="黑体"/>
          <w:b/>
          <w:color w:val="1F3A5F"/>
          <w:sz w:val="28"/>
        </w:rPr>
        <w:t>一、详细案情（原始材料）</w:t>
      </w:r>
    </w:p>
    <w:p>
      <w:pPr>
        <w:spacing w:line="360" w:lineRule="auto" w:after="120"/>
        <w:ind w:firstLine="420"/>
      </w:pPr>
      <w:r>
        <w:rPr>
          <w:rFonts w:ascii="宋体" w:hAnsi="宋体" w:eastAsia="宋体"/>
          <w:b w:val="0"/>
          <w:sz w:val="24"/>
        </w:rPr>
        <w:t>【案情摘要】岳某与被害人张某曾有交往关系。双方断绝交往后，岳某为报复张某及其家人，在微信朋友圈、快手App等平台散布二人交往期间拍摄的张某裸体照片、视频，并发送给张某家人。相关账号被举报封禁后，岳某又重新申请账号继续散布上述视频、照片和侮辱性文字。相关信息在当地扩散发酵，造成恶劣社会影响，张某最终服毒身亡。</w:t>
      </w:r>
    </w:p>
    <w:p>
      <w:pPr>
        <w:spacing w:line="360" w:lineRule="auto" w:after="120"/>
        <w:ind w:firstLine="420"/>
      </w:pPr>
      <w:r>
        <w:rPr>
          <w:rFonts w:ascii="宋体" w:hAnsi="宋体" w:eastAsia="宋体"/>
          <w:b w:val="0"/>
          <w:sz w:val="24"/>
        </w:rPr>
        <w:t>【争议焦点】</w:t>
      </w:r>
    </w:p>
    <w:p>
      <w:pPr>
        <w:spacing w:line="360" w:lineRule="auto" w:after="120"/>
        <w:ind w:firstLine="420"/>
      </w:pPr>
      <w:r>
        <w:rPr>
          <w:rFonts w:ascii="宋体" w:hAnsi="宋体" w:eastAsia="宋体"/>
          <w:b w:val="0"/>
          <w:sz w:val="24"/>
        </w:rPr>
        <w:t>将被害人裸体照片、视频发布到网络平台，是否具有侮辱罪要求的“公然性”。</w:t>
      </w:r>
    </w:p>
    <w:p>
      <w:pPr>
        <w:spacing w:line="360" w:lineRule="auto" w:after="120"/>
        <w:ind w:firstLine="420"/>
      </w:pPr>
      <w:r>
        <w:rPr>
          <w:rFonts w:ascii="宋体" w:hAnsi="宋体" w:eastAsia="宋体"/>
          <w:b w:val="0"/>
          <w:sz w:val="24"/>
        </w:rPr>
        <w:t>该行为造成被害人自杀等严重后果时，是否属于“严重危害社会秩序”，从而可以按公诉程序追责。</w:t>
      </w:r>
    </w:p>
    <w:p>
      <w:pPr>
        <w:spacing w:line="360" w:lineRule="auto" w:after="120"/>
        <w:ind w:firstLine="420"/>
      </w:pPr>
      <w:r>
        <w:rPr>
          <w:rFonts w:ascii="宋体" w:hAnsi="宋体" w:eastAsia="宋体"/>
          <w:b w:val="0"/>
          <w:sz w:val="24"/>
        </w:rPr>
        <w:t>粉丝人数、浏览量相对有限时，能否否定网络传播的公开性和社会危害性。</w:t>
      </w:r>
    </w:p>
    <w:p>
      <w:pPr>
        <w:spacing w:line="360" w:lineRule="auto" w:after="120"/>
        <w:ind w:firstLine="420"/>
      </w:pPr>
      <w:r>
        <w:rPr>
          <w:rFonts w:ascii="宋体" w:hAnsi="宋体" w:eastAsia="宋体"/>
          <w:b w:val="0"/>
          <w:sz w:val="24"/>
        </w:rPr>
        <w:t>【分析过程】</w:t>
      </w:r>
    </w:p>
    <w:p>
      <w:pPr>
        <w:spacing w:line="360" w:lineRule="auto" w:after="120"/>
        <w:ind w:firstLine="420"/>
      </w:pPr>
      <w:r>
        <w:rPr>
          <w:rFonts w:ascii="宋体" w:hAnsi="宋体" w:eastAsia="宋体"/>
          <w:b w:val="0"/>
          <w:sz w:val="24"/>
        </w:rPr>
        <w:t>网络发布具备“公然性”。岳某将张某裸体照片、视频发布在微信朋友圈、快手App等网络平台，平台内容可以被不特定人员浏览、转发、推送。快手账号粉丝虽少，但在案证据显示相关视频、照片已有浏览记录，并有人通过同城推送接收到带侮辱性文字的照片。因此，粉丝人数少不能否定网络传播的公开性。</w:t>
      </w:r>
    </w:p>
    <w:p>
      <w:pPr>
        <w:spacing w:line="360" w:lineRule="auto" w:after="120"/>
        <w:ind w:firstLine="420"/>
      </w:pPr>
      <w:r>
        <w:rPr>
          <w:rFonts w:ascii="宋体" w:hAnsi="宋体" w:eastAsia="宋体"/>
          <w:b w:val="0"/>
          <w:sz w:val="24"/>
        </w:rPr>
        <w:t>行为已达到侮辱罪“情节严重”。岳某发布的是被害人裸体照片、视频，并配以侮辱性文字，内容直接暴露被害人隐私，贬损其人格尊严和社会评价。岳某在账号被封后重新注册账号继续发布，说明其主观报复性强，持续侵害明显。张某最终因舆论压力服毒身亡，后果严重，足以认定情节严重。</w:t>
      </w:r>
    </w:p>
    <w:p>
      <w:pPr>
        <w:spacing w:line="360" w:lineRule="auto" w:after="120"/>
        <w:ind w:firstLine="420"/>
      </w:pPr>
      <w:r>
        <w:rPr>
          <w:rFonts w:ascii="宋体" w:hAnsi="宋体" w:eastAsia="宋体"/>
          <w:b w:val="0"/>
          <w:sz w:val="24"/>
        </w:rPr>
        <w:t>本案可以适用公诉程序。侮辱罪通常属于告诉才处理的犯罪，但严重危害社会秩序的，可以由检察机关提起公诉。本案中，侮辱信息在当地迅速扩散、发酵，造成恶劣社会影响，并引发被害人自杀的严重后果，已经超出个人名誉纠纷范围，具有明显社会危害性。检察机关以侮辱罪追诉，符合网络侮辱犯罪的处理规则。</w:t>
      </w:r>
    </w:p>
    <w:p>
      <w:pPr>
        <w:spacing w:line="360" w:lineRule="auto" w:after="120"/>
        <w:ind w:firstLine="420"/>
      </w:pPr>
      <w:r>
        <w:rPr>
          <w:rFonts w:ascii="宋体" w:hAnsi="宋体" w:eastAsia="宋体"/>
          <w:b w:val="0"/>
          <w:sz w:val="24"/>
        </w:rPr>
        <w:t>综上，岳某利用网络散布被害人裸体影像和侮辱性文字，行为公开、内容恶劣、后果严重，并造成当地恶劣社会影响，应以侮辱罪依法追究刑事责任。</w:t>
      </w:r>
    </w:p>
    <w:p>
      <w:pPr>
        <w:spacing w:line="360" w:lineRule="auto" w:after="120"/>
        <w:ind w:firstLine="420"/>
      </w:pPr>
      <w:r>
        <w:rPr>
          <w:rFonts w:ascii="宋体" w:hAnsi="宋体" w:eastAsia="宋体"/>
          <w:b w:val="0"/>
          <w:sz w:val="24"/>
        </w:rPr>
        <w:t>【法律规定适用】</w:t>
      </w:r>
    </w:p>
    <w:p>
      <w:pPr>
        <w:spacing w:line="360" w:lineRule="auto" w:after="120"/>
        <w:ind w:firstLine="420"/>
      </w:pPr>
      <w:r>
        <w:rPr>
          <w:rFonts w:ascii="宋体" w:hAnsi="宋体" w:eastAsia="宋体"/>
          <w:b w:val="0"/>
          <w:sz w:val="24"/>
        </w:rPr>
        <w:t>《中华人民共和国刑法》第二百四十六条</w:t>
      </w:r>
    </w:p>
    <w:p>
      <w:pPr>
        <w:spacing w:line="360" w:lineRule="auto" w:after="120"/>
        <w:ind w:firstLine="420"/>
      </w:pPr>
      <w:r>
        <w:rPr>
          <w:rFonts w:ascii="宋体" w:hAnsi="宋体" w:eastAsia="宋体"/>
          <w:b w:val="0"/>
          <w:sz w:val="24"/>
        </w:rPr>
        <w:t>《最高人民法院、最高人民检察院关于办理利用信息网络实施诽谤等刑事案件适用法律若干问题的解释》第二条</w:t>
      </w:r>
    </w:p>
    <w:p>
      <w:pPr>
        <w:spacing w:line="360" w:lineRule="auto" w:after="120"/>
        <w:ind w:firstLine="420"/>
      </w:pPr>
      <w:r>
        <w:rPr>
          <w:rFonts w:ascii="宋体" w:hAnsi="宋体" w:eastAsia="宋体"/>
          <w:b w:val="0"/>
          <w:sz w:val="24"/>
        </w:rPr>
        <w:t>《最高人民法院、最高人民检察院关于办理利用信息网络实施诽谤等刑事案件适用法律若干问题的解释》第三条</w:t>
      </w:r>
    </w:p>
    <w:p>
      <w:pPr>
        <w:spacing w:line="360" w:lineRule="auto" w:after="120"/>
        <w:ind w:firstLine="420"/>
      </w:pPr>
      <w:r>
        <w:rPr>
          <w:rFonts w:ascii="宋体" w:hAnsi="宋体" w:eastAsia="宋体"/>
          <w:b w:val="0"/>
          <w:sz w:val="24"/>
        </w:rPr>
        <w:t>《最高人民法院、最高人民检察院关于办理利用信息网络实施诽谤等刑事案件适用法律若干问题的解释》第五条</w:t>
      </w:r>
    </w:p>
    <w:p>
      <w:pPr>
        <w:spacing w:before="280" w:after="120"/>
      </w:pPr>
      <w:r>
        <w:rPr>
          <w:rFonts w:ascii="黑体" w:hAnsi="黑体" w:eastAsia="黑体"/>
          <w:b/>
          <w:color w:val="1F3A5F"/>
          <w:sz w:val="28"/>
        </w:rPr>
        <w:t>二、具体案情提炼</w:t>
      </w:r>
    </w:p>
    <w:p>
      <w:pPr>
        <w:spacing w:line="360" w:lineRule="auto" w:after="120"/>
        <w:ind w:firstLine="420"/>
      </w:pPr>
      <w:r>
        <w:rPr>
          <w:rFonts w:ascii="宋体" w:hAnsi="宋体" w:eastAsia="宋体"/>
          <w:b w:val="0"/>
          <w:sz w:val="24"/>
        </w:rPr>
        <w:t>岳某为报复前交往对象张某，在微信朋友圈、快手等平台散布张某裸体照片、视频并发送给家人；账号被封后又重新注册继续发布侮辱性内容，信息在当地扩散，张某最终服毒身亡。</w:t>
      </w:r>
    </w:p>
    <w:p>
      <w:pPr>
        <w:spacing w:before="280" w:after="120"/>
      </w:pPr>
      <w:r>
        <w:rPr>
          <w:rFonts w:ascii="黑体" w:hAnsi="黑体" w:eastAsia="黑体"/>
          <w:b/>
          <w:color w:val="1F3A5F"/>
          <w:sz w:val="28"/>
        </w:rPr>
        <w:t>三、涉案法条/规范</w:t>
      </w:r>
    </w:p>
    <w:p>
      <w:pPr>
        <w:spacing w:line="360" w:lineRule="auto" w:after="120"/>
        <w:ind w:firstLine="420"/>
      </w:pPr>
      <w:r>
        <w:rPr>
          <w:rFonts w:ascii="宋体" w:hAnsi="宋体" w:eastAsia="宋体"/>
          <w:b w:val="0"/>
          <w:sz w:val="24"/>
        </w:rPr>
        <w:t>《刑法》第246条；《最高人民法院、最高人民检察院关于办理利用信息网络实施诽谤等刑事案件适用法律若干问题的解释》第2条、第3条、第5条；《民法典》人格权编。</w:t>
      </w:r>
    </w:p>
    <w:p>
      <w:pPr>
        <w:spacing w:before="280" w:after="120"/>
      </w:pPr>
      <w:r>
        <w:rPr>
          <w:rFonts w:ascii="黑体" w:hAnsi="黑体" w:eastAsia="黑体"/>
          <w:b/>
          <w:color w:val="1F3A5F"/>
          <w:sz w:val="28"/>
        </w:rPr>
        <w:t>四、案例分析与合规启示</w:t>
      </w:r>
    </w:p>
    <w:p>
      <w:pPr>
        <w:spacing w:line="360" w:lineRule="auto" w:after="120"/>
        <w:ind w:firstLine="420"/>
      </w:pPr>
      <w:r>
        <w:rPr>
          <w:rFonts w:ascii="宋体" w:hAnsi="宋体" w:eastAsia="宋体"/>
          <w:b w:val="0"/>
          <w:sz w:val="24"/>
        </w:rPr>
        <w:t>网络平台发布具备公然性，粉丝少不当然否定公开传播。裸照视频和侮辱文字叠加、持续发布并致被害人自杀，属于情节严重并严重危害社会秩序，可由公诉程序追责。</w:t>
      </w:r>
    </w:p>
    <w:p>
      <w:pPr>
        <w:spacing w:before="480"/>
        <w:jc w:val="center"/>
      </w:pPr>
      <w:r>
        <w:rPr>
          <w:rFonts w:ascii="宋体" w:hAnsi="宋体" w:eastAsia="宋体"/>
          <w:b w:val="0"/>
          <w:color w:val="999999"/>
          <w:sz w:val="20"/>
        </w:rPr>
        <w:t>场景8 · 案例1 · 个人信息数据特殊适用场景案例拆分</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