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2. 汤某某、何某网上“骂战”被行政处罚案</w:t>
      </w:r>
    </w:p>
    <w:p>
      <w:pPr>
        <w:spacing w:after="240"/>
        <w:jc w:val="center"/>
      </w:pPr>
      <w:r>
        <w:rPr>
          <w:rFonts w:ascii="楷体" w:hAnsi="楷体" w:eastAsia="楷体"/>
          <w:b w:val="0"/>
          <w:color w:val="666666"/>
          <w:sz w:val="24"/>
        </w:rPr>
        <w:t>所属场景：网络暴力、中国治理与人格权益保护场景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案情摘要】2023年2月，汤某某和何某因琐事发生冲突，双方未能协商解决。此后矛盾升级，二人在多个网络平台发布视频泄愤、相互谩骂，并捏造对方非法持枪、抢劫、强奸等不实信息，引发大量网民围观、评论、嘲讽和谩骂，造成不良社会影响。</w:t>
      </w:r>
    </w:p>
    <w:p>
      <w:pPr>
        <w:spacing w:line="360" w:lineRule="auto" w:after="120"/>
        <w:ind w:firstLine="420"/>
      </w:pPr>
      <w:r>
        <w:rPr>
          <w:rFonts w:ascii="宋体" w:hAnsi="宋体" w:eastAsia="宋体"/>
          <w:b w:val="0"/>
          <w:sz w:val="24"/>
        </w:rPr>
        <w:t>【争议焦点】</w:t>
      </w:r>
    </w:p>
    <w:p>
      <w:pPr>
        <w:spacing w:line="360" w:lineRule="auto" w:after="120"/>
        <w:ind w:firstLine="420"/>
      </w:pPr>
      <w:r>
        <w:rPr>
          <w:rFonts w:ascii="宋体" w:hAnsi="宋体" w:eastAsia="宋体"/>
          <w:b w:val="0"/>
          <w:sz w:val="24"/>
        </w:rPr>
        <w:t>双方互骂、互相捏造违法犯罪事实的行为，虽未达到犯罪程度，是否仍应依法处罚。</w:t>
      </w:r>
    </w:p>
    <w:p>
      <w:pPr>
        <w:spacing w:line="360" w:lineRule="auto" w:after="120"/>
        <w:ind w:firstLine="420"/>
      </w:pPr>
      <w:r>
        <w:rPr>
          <w:rFonts w:ascii="宋体" w:hAnsi="宋体" w:eastAsia="宋体"/>
          <w:b w:val="0"/>
          <w:sz w:val="24"/>
        </w:rPr>
        <w:t>网络骂战对双方名誉权和网络公共秩序的损害如何评价。</w:t>
      </w:r>
    </w:p>
    <w:p>
      <w:pPr>
        <w:spacing w:line="360" w:lineRule="auto" w:after="120"/>
        <w:ind w:firstLine="420"/>
      </w:pPr>
      <w:r>
        <w:rPr>
          <w:rFonts w:ascii="宋体" w:hAnsi="宋体" w:eastAsia="宋体"/>
          <w:b w:val="0"/>
          <w:sz w:val="24"/>
        </w:rPr>
        <w:t>行政机关能否通过拘留和责令删除违法视频及时制止网络暴力升级。</w:t>
      </w:r>
    </w:p>
    <w:p>
      <w:pPr>
        <w:spacing w:line="360" w:lineRule="auto" w:after="120"/>
        <w:ind w:firstLine="420"/>
      </w:pPr>
      <w:r>
        <w:rPr>
          <w:rFonts w:ascii="宋体" w:hAnsi="宋体" w:eastAsia="宋体"/>
          <w:b w:val="0"/>
          <w:sz w:val="24"/>
        </w:rPr>
        <w:t>【分析过程】</w:t>
      </w:r>
    </w:p>
    <w:p>
      <w:pPr>
        <w:spacing w:line="360" w:lineRule="auto" w:after="120"/>
        <w:ind w:firstLine="420"/>
      </w:pPr>
      <w:r>
        <w:rPr>
          <w:rFonts w:ascii="宋体" w:hAnsi="宋体" w:eastAsia="宋体"/>
          <w:b w:val="0"/>
          <w:sz w:val="24"/>
        </w:rPr>
        <w:t>法院首先明确案件定性路径。二人通过多个网络平台发布视频、文字，相互谩骂，并捏造对方实施非法持枪、抢劫、强奸等严重违法犯罪事实。该类行为已符合《治安管理处罚法》第四十二条关于公然侮辱、捏造事实诽谤的规范结构。</w:t>
      </w:r>
    </w:p>
    <w:p>
      <w:pPr>
        <w:spacing w:line="360" w:lineRule="auto" w:after="120"/>
        <w:ind w:firstLine="420"/>
      </w:pPr>
      <w:r>
        <w:rPr>
          <w:rFonts w:ascii="宋体" w:hAnsi="宋体" w:eastAsia="宋体"/>
          <w:b w:val="0"/>
          <w:sz w:val="24"/>
        </w:rPr>
        <w:t>法院（及行政机关处理意见）重点审查行为传播方式与社会影响。涉案内容在短视频平台、社交平台持续扩散，引发大量围观、评论与二次传播，冲突从个体纠纷演变为网络公共事件，形成明显扩散效应，对网络秩序造成扰乱。</w:t>
      </w:r>
    </w:p>
    <w:p>
      <w:pPr>
        <w:spacing w:line="360" w:lineRule="auto" w:after="120"/>
        <w:ind w:firstLine="420"/>
      </w:pPr>
      <w:r>
        <w:rPr>
          <w:rFonts w:ascii="宋体" w:hAnsi="宋体" w:eastAsia="宋体"/>
          <w:b w:val="0"/>
          <w:sz w:val="24"/>
        </w:rPr>
        <w:t>法院进一步关注行为升级过程。双方未通过线下方式解决矛盾，而是持续在网络空间互相攻击，并不断升级为虚构严重犯罪事实的指控。行为从一般情绪宣泄逐步转化为具有明确指向性的名誉侵害行为，具有持续性和升级性特征。</w:t>
      </w:r>
    </w:p>
    <w:p>
      <w:pPr>
        <w:spacing w:line="360" w:lineRule="auto" w:after="120"/>
        <w:ind w:firstLine="420"/>
      </w:pPr>
      <w:r>
        <w:rPr>
          <w:rFonts w:ascii="宋体" w:hAnsi="宋体" w:eastAsia="宋体"/>
          <w:b w:val="0"/>
          <w:sz w:val="24"/>
        </w:rPr>
        <w:t>法院在责任认定中强调行为后果与治理必要性。虚构刑事犯罪指控具有高度贬损性，容易引发公众误解并放大社会评价损害。即使未达到刑事犯罪标准，仍已构成对他人名誉权的侵害，并扰乱公共秩序，应通过行政处罚及时制止，防止进一步扩散。</w:t>
      </w:r>
    </w:p>
    <w:p>
      <w:pPr>
        <w:spacing w:line="360" w:lineRule="auto" w:after="120"/>
        <w:ind w:firstLine="420"/>
      </w:pPr>
      <w:r>
        <w:rPr>
          <w:rFonts w:ascii="宋体" w:hAnsi="宋体" w:eastAsia="宋体"/>
          <w:b w:val="0"/>
          <w:sz w:val="24"/>
        </w:rPr>
        <w:t>最后，法院支持公安机关采取的处置措施，包括行政拘留与删除违法信息。该类处理目的在于快速止损，阻断网络暴力传播链条，同时通过行政制裁强化行为人法律责任认知。</w:t>
      </w:r>
    </w:p>
    <w:p>
      <w:pPr>
        <w:spacing w:line="360" w:lineRule="auto" w:after="120"/>
        <w:ind w:firstLine="420"/>
      </w:pPr>
      <w:r>
        <w:rPr>
          <w:rFonts w:ascii="宋体" w:hAnsi="宋体" w:eastAsia="宋体"/>
          <w:b w:val="0"/>
          <w:sz w:val="24"/>
        </w:rPr>
        <w:t>【法律规定适用】</w:t>
      </w:r>
    </w:p>
    <w:p>
      <w:pPr>
        <w:spacing w:line="360" w:lineRule="auto" w:after="120"/>
        <w:ind w:firstLine="420"/>
      </w:pPr>
      <w:r>
        <w:rPr>
          <w:rFonts w:ascii="宋体" w:hAnsi="宋体" w:eastAsia="宋体"/>
          <w:b w:val="0"/>
          <w:sz w:val="24"/>
        </w:rPr>
        <w:t>《中华人民共和国刑法》第二百四十六条</w:t>
      </w:r>
    </w:p>
    <w:p>
      <w:pPr>
        <w:spacing w:line="360" w:lineRule="auto" w:after="120"/>
        <w:ind w:firstLine="420"/>
      </w:pPr>
      <w:r>
        <w:rPr>
          <w:rFonts w:ascii="宋体" w:hAnsi="宋体" w:eastAsia="宋体"/>
          <w:b w:val="0"/>
          <w:sz w:val="24"/>
        </w:rPr>
        <w:t>《最高人民法院、最高人民检察院关于办理利用信息网络实施诽谤等刑事案件适用法律若干问题的解释》第二条</w:t>
      </w:r>
    </w:p>
    <w:p>
      <w:pPr>
        <w:spacing w:line="360" w:lineRule="auto" w:after="120"/>
        <w:ind w:firstLine="420"/>
      </w:pPr>
      <w:r>
        <w:rPr>
          <w:rFonts w:ascii="宋体" w:hAnsi="宋体" w:eastAsia="宋体"/>
          <w:b w:val="0"/>
          <w:sz w:val="24"/>
        </w:rPr>
        <w:t>《最高人民法院、最高人民检察院关于办理利用信息网络实施诽谤等刑事案件适用法律若干问题的解释》第三条</w:t>
      </w:r>
    </w:p>
    <w:p>
      <w:pPr>
        <w:spacing w:line="360" w:lineRule="auto" w:after="120"/>
        <w:ind w:firstLine="420"/>
      </w:pPr>
      <w:r>
        <w:rPr>
          <w:rFonts w:ascii="宋体" w:hAnsi="宋体" w:eastAsia="宋体"/>
          <w:b w:val="0"/>
          <w:sz w:val="24"/>
        </w:rPr>
        <w:t>《最高人民法院、最高人民检察院关于办理利用信息网络实施诽谤等刑事案件适用法律若干问题的解释》第五条</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2023 年二人因琐事发生冲突后在多个网络平台发布视频相互谩骂，并捏造对方非法持枪、抢劫、强奸等不实信息，引发围观和评论，造成不良社会影响。</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《治安管理处罚法》关于侮辱、诽谤、扰乱公共秩序的规定；《民法典》第1024条、第1032条、第1034条；网络信息内容治理相关规则。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未达犯罪程度的网络暴力仍可能受到行政处罚。公安机关可通过拘留、责令删除违法视频等方式及时制止网络骂战升级。</w:t>
      </w:r>
    </w:p>
    <w:p>
      <w:pPr>
        <w:spacing w:before="480"/>
        <w:jc w:val="center"/>
      </w:pPr>
      <w:r>
        <w:rPr>
          <w:rFonts w:ascii="宋体" w:hAnsi="宋体" w:eastAsia="宋体"/>
          <w:b w:val="0"/>
          <w:color w:val="999999"/>
          <w:sz w:val="20"/>
        </w:rPr>
        <w:t>场景8 · 案例2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