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3. “造黄谣、邀吃瓜”未成年人网络欺凌案</w:t>
      </w:r>
    </w:p>
    <w:p>
      <w:pPr>
        <w:spacing w:after="240"/>
        <w:jc w:val="center"/>
      </w:pPr>
      <w:r>
        <w:rPr>
          <w:rFonts w:ascii="楷体" w:hAnsi="楷体" w:eastAsia="楷体"/>
          <w:b w:val="0"/>
          <w:color w:val="666666"/>
          <w:sz w:val="24"/>
        </w:rPr>
        <w:t>所属场景：网络暴力、中国治理与人格权益保护场景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案情摘要】小张看到一篇与小黄有关的微信笔记，笔记中含有粗俗、贬损小黄的言论，称小黄朋友圈照片系盗图并暗示其打造虚假精致人设。小张随后在朋友圈邀请他人“吃瓜”，并将涉案笔记、群聊记录以及此前保存的一段不雅视频发送给同学，影射视频中的女子为小黄。事实上，视频中的女性未露脸，小张并不能确认其为小黄。相关内容之后在小范围内继续传播。</w:t>
      </w:r>
    </w:p>
    <w:p>
      <w:pPr>
        <w:spacing w:line="360" w:lineRule="auto" w:after="120"/>
        <w:ind w:firstLine="420"/>
      </w:pPr>
      <w:r>
        <w:rPr>
          <w:rFonts w:ascii="宋体" w:hAnsi="宋体" w:eastAsia="宋体"/>
          <w:b w:val="0"/>
          <w:sz w:val="24"/>
        </w:rPr>
        <w:t>【争议焦点】</w:t>
      </w:r>
    </w:p>
    <w:p>
      <w:pPr>
        <w:spacing w:line="360" w:lineRule="auto" w:after="120"/>
        <w:ind w:firstLine="420"/>
      </w:pPr>
      <w:r>
        <w:rPr>
          <w:rFonts w:ascii="宋体" w:hAnsi="宋体" w:eastAsia="宋体"/>
          <w:b w:val="0"/>
          <w:sz w:val="24"/>
        </w:rPr>
        <w:t>转发者不是原始制作者时，是否仍可能因传播贬损内容和不雅视频承担侵权责任。</w:t>
      </w:r>
    </w:p>
    <w:p>
      <w:pPr>
        <w:spacing w:line="360" w:lineRule="auto" w:after="120"/>
        <w:ind w:firstLine="420"/>
      </w:pPr>
      <w:r>
        <w:rPr>
          <w:rFonts w:ascii="宋体" w:hAnsi="宋体" w:eastAsia="宋体"/>
          <w:b w:val="0"/>
          <w:sz w:val="24"/>
        </w:rPr>
        <w:t>朋友圈内容、朋友圈截图和个人生活照片是否属于具有私密性的空间或信息。</w:t>
      </w:r>
    </w:p>
    <w:p>
      <w:pPr>
        <w:spacing w:line="360" w:lineRule="auto" w:after="120"/>
        <w:ind w:firstLine="420"/>
      </w:pPr>
      <w:r>
        <w:rPr>
          <w:rFonts w:ascii="宋体" w:hAnsi="宋体" w:eastAsia="宋体"/>
          <w:b w:val="0"/>
          <w:sz w:val="24"/>
        </w:rPr>
        <w:t>未成年人实施网络欺凌时，其监护人应承担何种民事责任。</w:t>
      </w:r>
    </w:p>
    <w:p>
      <w:pPr>
        <w:spacing w:line="360" w:lineRule="auto" w:after="120"/>
        <w:ind w:firstLine="420"/>
      </w:pPr>
      <w:r>
        <w:rPr>
          <w:rFonts w:ascii="宋体" w:hAnsi="宋体" w:eastAsia="宋体"/>
          <w:b w:val="0"/>
          <w:sz w:val="24"/>
        </w:rPr>
        <w:t>【分析过程】</w:t>
      </w:r>
    </w:p>
    <w:p>
      <w:pPr>
        <w:spacing w:line="360" w:lineRule="auto" w:after="120"/>
        <w:ind w:firstLine="420"/>
      </w:pPr>
      <w:r>
        <w:rPr>
          <w:rFonts w:ascii="宋体" w:hAnsi="宋体" w:eastAsia="宋体"/>
          <w:b w:val="0"/>
          <w:sz w:val="24"/>
        </w:rPr>
        <w:t>转发者也要承担责任。小张虽未制作涉案笔记和视频，但其明知内容含有贬损、造谣和不雅影射，仍主动在朋友圈邀人“吃瓜”，并向同学发送相关材料，推动信息扩散。网络欺凌的责任不只看首发行为，也看后续传播行为是否扩大损害。</w:t>
      </w:r>
    </w:p>
    <w:p>
      <w:pPr>
        <w:spacing w:line="360" w:lineRule="auto" w:after="120"/>
        <w:ind w:firstLine="420"/>
      </w:pPr>
      <w:r>
        <w:rPr>
          <w:rFonts w:ascii="宋体" w:hAnsi="宋体" w:eastAsia="宋体"/>
          <w:b w:val="0"/>
          <w:sz w:val="24"/>
        </w:rPr>
        <w:t>行为侵害名誉权。涉案笔记、群聊记录和不雅视频均指向小黄，内容容易使同学对小黄产生负面认识，导致其在共同学生群体中的社会评价降低。小张无法证明视频来源，也不能确认视频中女子为小黄，仍进行影射和传播，主观过错明显。</w:t>
      </w:r>
    </w:p>
    <w:p>
      <w:pPr>
        <w:spacing w:line="360" w:lineRule="auto" w:after="120"/>
        <w:ind w:firstLine="420"/>
      </w:pPr>
      <w:r>
        <w:rPr>
          <w:rFonts w:ascii="宋体" w:hAnsi="宋体" w:eastAsia="宋体"/>
          <w:b w:val="0"/>
          <w:sz w:val="24"/>
        </w:rPr>
        <w:t>行为侵害隐私权。朋友圈内容、朋友圈截图和个人生活照片具有一定私密性，通常只在好友或特定范围内分享。小张擅自将相关内容转发给他人，扩大传播范围，破坏了小黄对个人信息和私密生活的控制。</w:t>
      </w:r>
    </w:p>
    <w:p>
      <w:pPr>
        <w:spacing w:line="360" w:lineRule="auto" w:after="120"/>
        <w:ind w:firstLine="420"/>
      </w:pPr>
      <w:r>
        <w:rPr>
          <w:rFonts w:ascii="宋体" w:hAnsi="宋体" w:eastAsia="宋体"/>
          <w:b w:val="0"/>
          <w:sz w:val="24"/>
        </w:rPr>
        <w:t>监护人应承担赔偿责任。小张实施侵权时系未成年人，其父母作为监护人，应对小张造成的损害承担民事赔偿责任。法院判令小张公开赔礼道歉，并由其父母赔偿精神损害抚慰金和合理支出，体现了对未成年人网络欺凌的制止和对受害未成年人人格权益的保护。</w:t>
      </w:r>
    </w:p>
    <w:p>
      <w:pPr>
        <w:spacing w:line="360" w:lineRule="auto" w:after="120"/>
        <w:ind w:firstLine="420"/>
      </w:pPr>
      <w:r>
        <w:rPr>
          <w:rFonts w:ascii="宋体" w:hAnsi="宋体" w:eastAsia="宋体"/>
          <w:b w:val="0"/>
          <w:sz w:val="24"/>
        </w:rPr>
        <w:t>【法律规定适用】</w:t>
      </w:r>
    </w:p>
    <w:p>
      <w:pPr>
        <w:spacing w:line="360" w:lineRule="auto" w:after="120"/>
        <w:ind w:firstLine="420"/>
      </w:pPr>
      <w:r>
        <w:rPr>
          <w:rFonts w:ascii="宋体" w:hAnsi="宋体" w:eastAsia="宋体"/>
          <w:b w:val="0"/>
          <w:sz w:val="24"/>
        </w:rPr>
        <w:t>《中华人民共和国民法典》第一百七十九条</w:t>
      </w:r>
    </w:p>
    <w:p>
      <w:pPr>
        <w:spacing w:line="360" w:lineRule="auto" w:after="120"/>
        <w:ind w:firstLine="420"/>
      </w:pPr>
      <w:r>
        <w:rPr>
          <w:rFonts w:ascii="宋体" w:hAnsi="宋体" w:eastAsia="宋体"/>
          <w:b w:val="0"/>
          <w:sz w:val="24"/>
        </w:rPr>
        <w:t>《中华人民共和国民法典》第九百九十五条</w:t>
      </w:r>
    </w:p>
    <w:p>
      <w:pPr>
        <w:spacing w:line="360" w:lineRule="auto" w:after="120"/>
        <w:ind w:firstLine="420"/>
      </w:pPr>
      <w:r>
        <w:rPr>
          <w:rFonts w:ascii="宋体" w:hAnsi="宋体" w:eastAsia="宋体"/>
          <w:b w:val="0"/>
          <w:sz w:val="24"/>
        </w:rPr>
        <w:t>《中华人民共和国民法典》第一千零二十四条</w:t>
      </w:r>
    </w:p>
    <w:p>
      <w:pPr>
        <w:spacing w:line="360" w:lineRule="auto" w:after="120"/>
        <w:ind w:firstLine="420"/>
      </w:pPr>
      <w:r>
        <w:rPr>
          <w:rFonts w:ascii="宋体" w:hAnsi="宋体" w:eastAsia="宋体"/>
          <w:b w:val="0"/>
          <w:sz w:val="24"/>
        </w:rPr>
        <w:t>《中华人民共和国民法典》第一千零三十二条</w:t>
      </w:r>
    </w:p>
    <w:p>
      <w:pPr>
        <w:spacing w:line="360" w:lineRule="auto" w:after="120"/>
        <w:ind w:firstLine="420"/>
      </w:pPr>
      <w:r>
        <w:rPr>
          <w:rFonts w:ascii="宋体" w:hAnsi="宋体" w:eastAsia="宋体"/>
          <w:b w:val="0"/>
          <w:sz w:val="24"/>
        </w:rPr>
        <w:t>《中华人民共和国民法典》第一千一百六十五条</w:t>
      </w:r>
    </w:p>
    <w:p>
      <w:pPr>
        <w:spacing w:line="360" w:lineRule="auto" w:after="120"/>
        <w:ind w:firstLine="420"/>
      </w:pPr>
      <w:r>
        <w:rPr>
          <w:rFonts w:ascii="宋体" w:hAnsi="宋体" w:eastAsia="宋体"/>
          <w:b w:val="0"/>
          <w:sz w:val="24"/>
        </w:rPr>
        <w:t>《中华人民共和国民法典》第一千一百八十三条</w:t>
      </w:r>
    </w:p>
    <w:p>
      <w:pPr>
        <w:spacing w:line="360" w:lineRule="auto" w:after="120"/>
        <w:ind w:firstLine="420"/>
      </w:pPr>
      <w:r>
        <w:rPr>
          <w:rFonts w:ascii="宋体" w:hAnsi="宋体" w:eastAsia="宋体"/>
          <w:b w:val="0"/>
          <w:sz w:val="24"/>
        </w:rPr>
        <w:t>《中华人民共和国民法典》第一千一百八十八条</w:t>
      </w:r>
    </w:p>
    <w:p>
      <w:pPr>
        <w:spacing w:line="360" w:lineRule="auto" w:after="120"/>
        <w:ind w:firstLine="420"/>
      </w:pPr>
      <w:r>
        <w:rPr>
          <w:rFonts w:ascii="宋体" w:hAnsi="宋体" w:eastAsia="宋体"/>
          <w:b w:val="0"/>
          <w:sz w:val="24"/>
        </w:rPr>
        <w:t>《中华人民共和国民法典》第一千一百九十四条</w:t>
      </w:r>
    </w:p>
    <w:p>
      <w:pPr>
        <w:spacing w:line="360" w:lineRule="auto" w:after="120"/>
        <w:ind w:firstLine="420"/>
      </w:pPr>
      <w:r>
        <w:rPr>
          <w:rFonts w:ascii="宋体" w:hAnsi="宋体" w:eastAsia="宋体"/>
          <w:b w:val="0"/>
          <w:sz w:val="24"/>
        </w:rPr>
        <w:t>《中华人民共和国未成年人保护法》第七十七条</w:t>
      </w:r>
    </w:p>
    <w:p>
      <w:pPr>
        <w:spacing w:line="360" w:lineRule="auto" w:after="120"/>
        <w:ind w:firstLine="420"/>
      </w:pPr>
      <w:r>
        <w:rPr>
          <w:rFonts w:ascii="宋体" w:hAnsi="宋体" w:eastAsia="宋体"/>
          <w:b w:val="0"/>
          <w:sz w:val="24"/>
        </w:rPr>
        <w:t>《未成年人网络保护条例》第二十六条</w:t>
      </w:r>
    </w:p>
    <w:p>
      <w:pPr>
        <w:spacing w:line="360" w:lineRule="auto" w:after="120"/>
        <w:ind w:firstLine="420"/>
      </w:pPr>
      <w:r>
        <w:rPr>
          <w:rFonts w:ascii="宋体" w:hAnsi="宋体" w:eastAsia="宋体"/>
          <w:b w:val="0"/>
          <w:sz w:val="24"/>
        </w:rPr>
        <w:t>《最高人民法院关于审理利用信息网络侵害人身权益民事纠纷案件适用法律若干问题的规定》第一条</w:t>
      </w:r>
    </w:p>
    <w:p>
      <w:pPr>
        <w:spacing w:line="360" w:lineRule="auto" w:after="120"/>
        <w:ind w:firstLine="420"/>
      </w:pPr>
      <w:r>
        <w:rPr>
          <w:rFonts w:ascii="宋体" w:hAnsi="宋体" w:eastAsia="宋体"/>
          <w:b w:val="0"/>
          <w:sz w:val="24"/>
        </w:rPr>
        <w:t>《最高人民法院关于审理利用信息网络侵害人身权益民事纠纷案件适用法律若干问题的规定》第十二条</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未成年人之间通过网络传播涉性谣言、恶意 P 图、邀人围观和辱骂，造成被害人名誉、隐私和身心健康受损。材料将其作为未成年人网络欺凌治理案例。</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《民法典》第1194条；《未成年人保护法》第77条；《未成年人网络保护条例》第26条；《最高人民法院关于审理利用信息网络侵害人身权益民事纠纷案件适用法律若干问题的规定》第1条、第12条。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涉性谣言对未成年人伤害更深，学校、平台和监护人均应承担及时制止、删除、心理干预和证据留存义务。不能以“玩笑”或“同龄人冲突”降低法律评价。</w:t>
      </w:r>
    </w:p>
    <w:p>
      <w:pPr>
        <w:spacing w:before="480"/>
        <w:jc w:val="center"/>
      </w:pPr>
      <w:r>
        <w:rPr>
          <w:rFonts w:ascii="宋体" w:hAnsi="宋体" w:eastAsia="宋体"/>
          <w:b w:val="0"/>
          <w:color w:val="999999"/>
          <w:sz w:val="20"/>
        </w:rPr>
        <w:t>场景8 · 案例3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