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1. BadPower 快充设备安全漏洞案例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腾讯安全玄武实验室发布的 BadPower 安全问题研究报告指出，市面上大量快充终端设备存在安全问题，攻击者可以通过改写快充设备固件控制充电行为，导致被充电设备元器件烧毁，并可能造成更严重后果。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主要风险：终端设备固件安全不足、设备更新机制缺失、用户难以及时发现异常、厂商安全设计责任不足。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法律要点在于：物联网产品提供者不能只关注功能实现和成本控制，还应承担合理的产品安全和数据安全保障义务。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治理启示是，物联网产品应当在设计阶段引入“安全默认”原则，对固件更新、身份认证、异常行为检测和漏洞响应机制进行制度化管理。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腾讯安全玄武实验室披露大量快充终端可被改写固件，攻击者可控制充电行为，导致被充电设备元器件烧毁。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《网络安全法》第21条、第42条；《数据安全法》第27条；《个人信息保护法》第51条；产品安全与漏洞管理规则。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终端厂商不能只关注功能和成本，应落实安全默认、固件签名、更新验证、异常检测和漏洞响应机制。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