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5. 美国联网医疗成像设备安全隐患案例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2020年3月，Palo Alto Networks旗下Unit42发布《2020年物联网威胁报告》，指出美国多达83%的联网医疗成像设备存在安全隐患，包括乳房X光造影机、MRI核磁共振成像机等。美国一家医院因乳腺X线机异常流量发现Conficker蠕虫感染医疗设备，导致设备下线、安装补丁并逐步恢复，医院主要业务停摆长达一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医疗物联网设备安全问题具有高风险性。医疗设备一旦遭受攻击，影响的不只是数据安全，还可能影响诊疗秩序、患者生命健康和医院正常运行。同时，医疗数据本身包含大量敏感个人信息，泄露后损害更大。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治理启示：应强化医疗设备准入安全、定期补丁、网络隔离、漏洞通报和医疗数据分类保护。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联网医疗成像设备存在弱口令、暴露端口或未授权访问风险，可能泄露患者影像与诊疗信息，并影响医疗服务连续性。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HIPAA 相关安全规则；对应我国《个人信息保护法》第28条、第51条，《网络安全法》第21条。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医疗物联网设备兼具生命健康与个人信息风险，应加强网络隔离、设备身份认证、补丁和应急预案。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案例5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