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9. 俄罗斯 PickPoint 快递柜遭攻击事件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 年，俄罗斯快递服务公司 PickPoint 确认，莫斯科 2732 个储物格出现柜门大开的情况，导致用户包裹暴露在失窃风险中。PickPoint 称，这是首起针对后端网关网络的攻击行为。攻击目的可能并非直接盗取包裹，而可能是炫技或表达不满，但快递柜与个人财物紧密相关，其安全风险不可忽视。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快递柜本身是智能终端，后台网关一旦被突破，就可能批量控制终端设备。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治理启示在于，公共场景中的智能柜、门禁、闸机等设备应加强后端网关安全、远程控制权限管理和异常行为监测。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PickPoint 智能快递柜遭攻击后，大量柜门异常打开，反映智能终端连接云平台后的物理安全外溢风险。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网络安全与个人信息保护规则；对应我国《网络安全法》第21条、第42条，《个人信息保护法》第51条。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快递柜涉及收件人身份、手机号、地址和取件记录。应将终端控制、云平台权限和异常批量指令纳入风控。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案例9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