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20. 区块链存证在合同纠纷中的应用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浙江某服装厂与经销商发生合同纠纷，对方删除电商平台聊天记录。服装厂通过掌上取证 App 即时固定侵权网页，2 分 18 秒完成取证，最终助力当事人索赔 46 万元。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例表明，区块链存证可以应对电子证据易删除、易篡改的问题。通过时间戳、哈希值和司法节点同步，电子证据的形成时间和完整性能够得到更好证明。法律评价上，区块链技术可以增强证据可信度，但仍需结合取证主体、取证方式和证据关联性进行司法审查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电子合同、交易记录等通过区块链进行哈希存证，用于证明数据形成时间、完整性和未篡改性。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《民事诉讼法》电子数据规则；《最高人民法院关于互联网法院审理案件若干问题的规定》；电子签名与电子数据证据规则。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区块链可增强真实性与完整性，但不能替代对取证主体、数据来源、授权范围和关联性的法律审查。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案例20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