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黑体" w:hAnsi="黑体" w:eastAsia="黑体"/>
          <w:b/>
          <w:sz w:val="36"/>
        </w:rPr>
        <w:t>22. “云剑”行动命案积案攻坚案例</w:t>
      </w:r>
    </w:p>
    <w:p>
      <w:pPr>
        <w:spacing w:after="240"/>
        <w:jc w:val="center"/>
      </w:pPr>
      <w:r>
        <w:rPr>
          <w:rFonts w:ascii="楷体" w:hAnsi="楷体" w:eastAsia="楷体"/>
          <w:b w:val="0"/>
          <w:color w:val="666666"/>
          <w:sz w:val="24"/>
        </w:rPr>
        <w:t>所属场景：物联网安全、智慧司法与电子取证场景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CCCCCC"/>
          <w:sz w:val="20"/>
        </w:rPr>
        <w:t>——————————————————————————————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一、详细案情（原始材料）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在 2020 年“云剑—2020”行动中，天津吕游工作室赴粤豫会战 134 天，研判在逃人员 40 余名，破命案积案 45 起；黄岩公安视图工作室累计破命案积案 54 起，协助寻亲 156 人，并参与伪造人像检验国标制定。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该案例体现人像识别、图像增强、跨镜追踪等技术在命案积案侦破中的作用。技术能够提高旧案线索发现能力，但也要求对人脸数据采集、黑名单比对、误识别风险和数据留存期限进行严格管理。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二、具体案情提炼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公安机关通过数据比对、人像识别、轨迹分析等技术对命案积案进行线索发现和嫌疑人锁定。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三、涉案法条/规范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《刑事诉讼法》侦查取证规则；个人信息保护和公安机关数据安全管理规则。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四、案例分析与合规启示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智慧侦查提升效率，但应坚持法定权限、必要性、关联性和程序留痕，避免泛化调取第三方信息。</w:t>
      </w:r>
    </w:p>
    <w:p>
      <w:pPr>
        <w:spacing w:before="480"/>
        <w:jc w:val="center"/>
      </w:pPr>
      <w:r>
        <w:rPr>
          <w:rFonts w:ascii="宋体" w:hAnsi="宋体" w:eastAsia="宋体"/>
          <w:b w:val="0"/>
          <w:color w:val="999999"/>
          <w:sz w:val="20"/>
        </w:rPr>
        <w:t>场景9 · 案例22 · 个人信息数据特殊适用场景案例拆分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