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23. “团圆”行动打拐寻亲案例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在 2021 年“团圆”行动中，吕游团队通过人像比对确认被拐儿童 27 名，抓获拐卖人员 5 名。技术难点在于跨 20—30 年的人脸老化比对，需要依靠人脸动态生长模型和特征点校准。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该案例说明，人脸识别技术在打拐寻亲等重大公共利益场景中具有积极价值。但由于涉及儿童个人信息和生物识别信息，应坚持严格授权、目的限定和安全存储，避免数据被挪用于其他无关目的。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公安机关通过 DNA、人口信息、人像比对等技术协助查找失踪被拐儿童和身份确认。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《刑事诉讼法》；《个人信息保护法》第13条关于履行法定职责和公共利益场景；公安 DNA 数据管理规则。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公益目的和法定职责可支撑特定数据处理，但应控制用途、保存期限、访问权限和亲属隐私牵连。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案例23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