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黑体" w:hAnsi="黑体" w:eastAsia="黑体"/>
          <w:b/>
          <w:sz w:val="36"/>
        </w:rPr>
        <w:t>24. 交通违法治理中的人脸与车脸识别</w:t>
      </w:r>
    </w:p>
    <w:p>
      <w:pPr>
        <w:spacing w:after="240"/>
        <w:jc w:val="center"/>
      </w:pPr>
      <w:r>
        <w:rPr>
          <w:rFonts w:ascii="楷体" w:hAnsi="楷体" w:eastAsia="楷体"/>
          <w:b w:val="0"/>
          <w:color w:val="666666"/>
          <w:sz w:val="24"/>
        </w:rPr>
        <w:t>所属场景：物联网安全、智慧司法与电子取证场景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CCCCCC"/>
          <w:sz w:val="20"/>
        </w:rPr>
        <w:t>——————————————————————————————</w:t>
      </w:r>
    </w:p>
    <w:p>
      <w:pPr>
        <w:spacing w:before="280" w:after="120"/>
      </w:pPr>
      <w:r>
        <w:rPr>
          <w:rFonts w:ascii="黑体" w:hAnsi="黑体" w:eastAsia="黑体"/>
          <w:b/>
          <w:color w:val="1F3A5F"/>
          <w:sz w:val="28"/>
        </w:rPr>
        <w:t>一、详细案情（原始材料）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全国多地使用人脸与车脸识别技术治理交通违法，例如开车打电话、不系安全带、违法鸣笛等，通过声呐与视频联动自动抓拍。郑州电动车 AI 天眼通过 272 套监控实现全覆盖，对闯红灯、不戴头盔、违法载人等行为进行抓拍，并通过短信自动推送罚单。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智能识别技术在行政执法中的应用。其价值在于提高交通治理效率，但风险在于执法数据采集密度高、覆盖范围广，容易形成常态化监控。治理上应明确执法依据、数据保存期限、错误申诉机制和自动化处罚的人工复核程序。</w:t>
      </w:r>
    </w:p>
    <w:p>
      <w:pPr>
        <w:spacing w:before="280" w:after="120"/>
      </w:pPr>
      <w:r>
        <w:rPr>
          <w:rFonts w:ascii="黑体" w:hAnsi="黑体" w:eastAsia="黑体"/>
          <w:b/>
          <w:color w:val="1F3A5F"/>
          <w:sz w:val="28"/>
        </w:rPr>
        <w:t>二、具体案情提炼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交通治理中使用人脸、车牌、车辆特征识别技术发现违法线索和实施执法。</w:t>
      </w:r>
    </w:p>
    <w:p>
      <w:pPr>
        <w:spacing w:before="280" w:after="120"/>
      </w:pPr>
      <w:r>
        <w:rPr>
          <w:rFonts w:ascii="黑体" w:hAnsi="黑体" w:eastAsia="黑体"/>
          <w:b/>
          <w:color w:val="1F3A5F"/>
          <w:sz w:val="28"/>
        </w:rPr>
        <w:t>三、涉案法条/规范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《个人信息保护法》第28条、第29条、第51条；道路交通安全管理规则；行政执法程序规则。</w:t>
      </w:r>
    </w:p>
    <w:p>
      <w:pPr>
        <w:spacing w:before="280" w:after="120"/>
      </w:pPr>
      <w:r>
        <w:rPr>
          <w:rFonts w:ascii="黑体" w:hAnsi="黑体" w:eastAsia="黑体"/>
          <w:b/>
          <w:color w:val="1F3A5F"/>
          <w:sz w:val="28"/>
        </w:rPr>
        <w:t>四、案例分析与合规启示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生物识别和车辆轨迹具有敏感性。执法技术应有明确法定依据、必要范围、准确率审查和异议救济。</w:t>
      </w:r>
    </w:p>
    <w:p>
      <w:pPr>
        <w:spacing w:before="480"/>
        <w:jc w:val="center"/>
      </w:pPr>
      <w:r>
        <w:rPr>
          <w:rFonts w:ascii="宋体" w:hAnsi="宋体" w:eastAsia="宋体"/>
          <w:b w:val="0"/>
          <w:color w:val="999999"/>
          <w:sz w:val="20"/>
        </w:rPr>
        <w:t>场景9 · 案例24 · 个人信息数据特殊适用场景案例拆分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