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25. 哈尔滨平房分局银行盗窃案视频识别</w:t>
      </w:r>
    </w:p>
    <w:p>
      <w:pPr>
        <w:spacing w:after="240"/>
        <w:jc w:val="center"/>
      </w:pPr>
      <w:r>
        <w:rPr>
          <w:rFonts w:ascii="楷体" w:hAnsi="楷体" w:eastAsia="楷体"/>
          <w:b w:val="0"/>
          <w:color w:val="666666"/>
          <w:sz w:val="24"/>
        </w:rPr>
        <w:t>所属场景：物联网安全、智慧司法与电子取证场景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哈尔滨平房分局办理一起银行 20 万盗窃案时，使用视频识别技术实现 30 秒抓脸、1 分钟追轨迹、5 分钟定身份，1 小时破案；夏季行动中抓获 43 人，侵财案件下降 55%。</w:t>
      </w:r>
    </w:p>
    <w:p>
      <w:pPr>
        <w:spacing w:line="360" w:lineRule="auto" w:after="120"/>
        <w:ind w:firstLine="420"/>
      </w:pPr>
      <w:r>
        <w:rPr>
          <w:rFonts w:ascii="宋体" w:hAnsi="宋体" w:eastAsia="宋体"/>
          <w:b w:val="0"/>
          <w:sz w:val="24"/>
        </w:rPr>
        <w:t>视频结构化、人脸识别和轨迹追踪技术可以显著提升案件侦破效率。但其法律问题在于，轨迹追踪涉及连续性个人行动信息，应确保仅限于案件侦查所必需，防止形成无差别人员画像。</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警方通过视频识别和图像分析技术在银行盗窃案件中锁定嫌疑对象或重建行动轨迹。</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《刑事诉讼法》；电子数据、视听资料证据规则；个人信息保护相关规则。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视频识别可作为线索和证据来源，但需说明提取、保存、比对和鉴定流程，防止算法结果不可质证。</w:t>
      </w:r>
    </w:p>
    <w:p>
      <w:pPr>
        <w:spacing w:before="480"/>
        <w:jc w:val="center"/>
      </w:pPr>
      <w:r>
        <w:rPr>
          <w:rFonts w:ascii="宋体" w:hAnsi="宋体" w:eastAsia="宋体"/>
          <w:b w:val="0"/>
          <w:color w:val="999999"/>
          <w:sz w:val="20"/>
        </w:rPr>
        <w:t>场景9 · 案例25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