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26. e-CarS 涉车犯罪打击案例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公安部重点实验室研发 e-CarS 系统，部署后数月侦破涉车案件 100 余宗，能够在 10 亿级图片库中秒级检索，复杂查询由 10 分钟缩短至 10 秒。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该案例体现车辆特征识别和海量图库检索在涉车犯罪侦查中的作用。车辆数据可能包括车牌、颜色、品牌、型号、轨迹等信息，治理上应注意车辆数据与车主个人信息之间的关联保护，防止被超目的使用。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涉车犯罪治理系统通过车辆识别、轨迹和关联分析辅助发现盗抢、套牌等犯罪线索。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《刑事诉讼法》；道路交通与公安数据管理规则；个人信息保护和数据安全规则。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车辆轨迹分析容易牵连无关车主和同行人员，应设置关联性阈值、人工复核和日志审计。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案例26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