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28. 重庆 VCS 视频侦查快速办案案例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重庆卢伟鹏在 50 小时监控中发现嫌疑人“拉车门”惯犯动作，串并案件后锁定并抓获潜逃 2 年的盗窃嫌疑人。VCS 便携设备可使基层民警现场快速处理 U 盘、硬盘视频，无需回局即可当场出结果。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其风险在于，行为识别可能因模型误差造成误判，应在侦查中作为线索而非直接定案依据，并保障后续人工核验和证据审查。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重庆运用 VCS 视频侦查系统实现视频检索、轨迹追踪和案件快速办理。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《刑事诉讼法》；电子数据和视听资料证据规则；个人信息保护相关规则。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视频侦查的效率优势不能替代证据合法性审查，应保留原始视频、检索条件和操作日志。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案例28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