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31. 校园霸凌故意伤害案中删除视频恢复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2024 年某中学女生被多人殴打并录制侮辱视频，施暴者删除手机视频后拒不承认，案件陷入僵局。办案机关扣押涉案手机，只读镜像后送检，通过手机取证工作站扫描闪存芯片，在未分配空间中恢复出已删除的 MP4 视频原文件，并计算哈希值确认未被篡改。最终视频作为核心证据，施暴者认罪，案件顺利起诉。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电子证据恢复应坚持检材固定、只读镜像、哈希校验和程序留痕，以保障证据真实性和被告人质证权。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校园霸凌案件中，通过技术手段恢复被删除视频，辅助证明侵害过程和责任分配。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《刑事诉讼法》或《民事诉讼法》证据规则；未成年人保护相关规则。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恢复视频可提升事实查明能力，但涉及未成年人隐私，应限制展示、传播和二次使用。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案例31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