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32. 网络性侵威胁案中微信撤回记录与云端日志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2025 年，嫌疑人虚构“富豪”身份，以“包养验货”为名威胁性侵，删除并撤回微信威胁记录，否认胁迫行为。办案机关通过手机深度扫描恢复已删除微信聊天记录，包括撤回前原文、威胁信息和见面约定，并依法向腾讯调取服务器 72 小时日志，固定撤回记录的原始内容与发送时间，再按时间线重构“诱骗—威胁—见面—作案”链条。最终证据链完整，嫌疑人以强奸罪定罪，电子数据被法院采信。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云端日志和本地恢复数据可以相互印证，形成完整电子证据链。但涉及平台数据调取时，应严格遵守法定程序，明确调取范围和保存期限，防止以侦查便利为由超范围调取用户通信数据。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网络性侵或威胁案件中，办案机关调取或恢复微信撤回记录、云端日志等电子数据，证明威胁、诱导或传播行为。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《刑事诉讼法》；电子数据证据规则；个人信息和通信隐私保护规则。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通信记录调取应有明确案件关联和审批程序，既要保障被害人权益，也要防止过度调取无关聊天。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案例32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