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33. 案件中的 3D 证据管理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青岛中院“智能 3D 证据管理系统”结合 3D 扫描建模技术，对实物证据进行高精度数字化建模，实现在线存储与管理。在知识产权案件中，可通过 3D 扫描保全侵权产品，便于法官及当事人在庭审中查看细节，比较侵权产品与正品差异。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3D 证据管理可以解决实物证据存储难、易损坏、庭审展示不便等问题。其法律意义在于增强物证展示和质证效果，但应保障 3D 模型与原物之间的一致性，并对扫描过程进行留痕。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通过 3D 建模、现场重建和证据管理技术展示案发现场、物证位置和行为路径。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《刑事诉讼法》证据规则；司法鉴定和视听资料规则。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3D 技术应作为辅助展示和分析工具，基础仍是原始证据、建模依据和专家可质证说明。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案例33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