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衡阳市政务数据资源和智慧城市特许经营权出让项目</w:t>
      </w:r>
    </w:p>
    <w:p>
      <w:pPr>
        <w:spacing w:after="240"/>
        <w:jc w:val="center"/>
      </w:pPr>
      <w:r>
        <w:rPr>
          <w:rFonts w:ascii="楷体" w:hAnsi="楷体" w:eastAsia="楷体"/>
          <w:b w:val="0"/>
          <w:color w:val="666666"/>
          <w:sz w:val="24"/>
        </w:rPr>
        <w:t>所属场景：公共数据授权运营、开放利用与行政垄断风险防范场景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2023 年 11 月，衡阳市公共资源交易中心发布公告，采用网上竞价方式出让“衡阳市政务数据资源和智慧城市特许经营权出让项目”，项目起拍价约为 18 亿元。该拍卖竞价公告作为衡阳市政府作出的抽象行政行为，滥用行政权力，造成不公平市场竞争环境，违反《反垄断法》精神；该问题源于地方行政部门对公共数据认知混乱。</w:t>
      </w:r>
    </w:p>
    <w:p>
      <w:pPr>
        <w:spacing w:line="360" w:lineRule="auto" w:after="120"/>
        <w:ind w:firstLine="420"/>
      </w:pPr>
      <w:r>
        <w:rPr>
          <w:rFonts w:ascii="宋体" w:hAnsi="宋体" w:eastAsia="宋体"/>
          <w:b w:val="0"/>
          <w:sz w:val="24"/>
        </w:rPr>
        <w:t>它反映了公共数据从公共治理资源转化为市场化运营资源时，地方政府可能将公共数据整体打包、排他出让，从而造成市场准入壁垒和行政垄断风险。</w:t>
      </w:r>
    </w:p>
    <w:p>
      <w:pPr>
        <w:spacing w:line="360" w:lineRule="auto" w:after="120"/>
        <w:ind w:firstLine="420"/>
      </w:pPr>
      <w:r>
        <w:rPr>
          <w:rFonts w:ascii="宋体" w:hAnsi="宋体" w:eastAsia="宋体"/>
          <w:b w:val="0"/>
          <w:sz w:val="24"/>
        </w:rPr>
        <w:t>该案的风险主要包括：公共数据权属不清、数据资源持有权与经营权混同、授权运营程序不透明、排他性特许经营可能限制其他经营者参与、公共数据收益分配缺乏清晰规则。争议焦点在于：政府是否有权将政务数据资源及智慧城市经营权以整体竞价方式出让；该行为是否排除、限制竞争；公共数据授权运营是否应当通过公平、公正、非歧视的程序进行。</w:t>
      </w:r>
    </w:p>
    <w:p>
      <w:pPr>
        <w:spacing w:line="360" w:lineRule="auto" w:after="120"/>
        <w:ind w:firstLine="420"/>
      </w:pPr>
      <w:r>
        <w:rPr>
          <w:rFonts w:ascii="宋体" w:hAnsi="宋体" w:eastAsia="宋体"/>
          <w:b w:val="0"/>
          <w:sz w:val="24"/>
        </w:rPr>
        <w:t>法律评价上，公共数据授权运营不能简单等同于土地、矿产等传统资源出让，也不能通过单一排他授权将公共数据长期锁定给特定主体。政府应当区分数据持有者、实施机构和运营机构的职责，明确授权范围、使用条件、收益分配和监督义务。治理启示是，公共数据授权运营应以公共数据资源登记和授权运营协议为基础，坚持公开遴选、竞争中立、非歧视开放和动态监管，防止地方政府以行政权力制造市场垄断。</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2023 年衡阳市公共资源交易中心发布公告，以网上竞价方式出让“衡阳市政务数据资源和智慧城市特许经营权”，起拍价约 18 亿元。材料指出该类整体打包、排他性出让可能造成不公平市场竞争环境。</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《反垄断法》行政垄断规则；《公平竞争审查条例/公平竞争审查制度实施细则》；公共数据授权运营、数据安全和个人信息保护规则。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公共数据不能简单等同土地、矿产等资源拍卖。政府应区分数据持有者、实施机构和运营机构，采用公开透明、非歧视、可退出的授权运营机制。</w:t>
      </w:r>
    </w:p>
    <w:p>
      <w:pPr>
        <w:spacing w:before="480"/>
        <w:jc w:val="center"/>
      </w:pPr>
      <w:r>
        <w:rPr>
          <w:rFonts w:ascii="宋体" w:hAnsi="宋体" w:eastAsia="宋体"/>
          <w:b w:val="0"/>
          <w:color w:val="999999"/>
          <w:sz w:val="20"/>
        </w:rPr>
        <w:t>场景10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