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294CF">
      <w:pPr>
        <w:pStyle w:val="164"/>
        <w:spacing w:after="200"/>
        <w:jc w:val="center"/>
        <w:rPr>
          <w:rFonts w:hint="eastAsia" w:ascii="黑体" w:hAnsi="黑体" w:eastAsia="黑体"/>
          <w:color w:val="auto"/>
          <w:sz w:val="36"/>
          <w:szCs w:val="36"/>
          <w:lang w:eastAsia="zh-CN"/>
        </w:rPr>
      </w:pPr>
      <w:r>
        <w:rPr>
          <w:rFonts w:ascii="黑体" w:hAnsi="黑体" w:eastAsia="黑体"/>
          <w:b w:val="0"/>
          <w:color w:val="auto"/>
          <w:sz w:val="36"/>
          <w:szCs w:val="36"/>
          <w:lang w:eastAsia="zh-CN"/>
        </w:rPr>
        <w:t>个人信息数据特殊适用场景真实案例提炼汇总</w:t>
      </w:r>
    </w:p>
    <w:p w14:paraId="5C63BC4A">
      <w:pPr>
        <w:pStyle w:val="165"/>
        <w:spacing w:after="80"/>
        <w:rPr>
          <w:rFonts w:hint="eastAsia" w:ascii="黑体" w:hAnsi="黑体" w:eastAsia="黑体"/>
          <w:color w:val="auto"/>
          <w:sz w:val="28"/>
          <w:szCs w:val="28"/>
          <w:lang w:eastAsia="zh-CN"/>
        </w:rPr>
      </w:pPr>
      <w:r>
        <w:rPr>
          <w:rFonts w:ascii="黑体" w:hAnsi="黑体" w:eastAsia="黑体"/>
          <w:b w:val="0"/>
          <w:color w:val="auto"/>
          <w:sz w:val="28"/>
          <w:szCs w:val="28"/>
          <w:lang w:eastAsia="zh-CN"/>
        </w:rPr>
        <w:t>一、场景与案例数量总览</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793"/>
        <w:gridCol w:w="10489"/>
        <w:gridCol w:w="1701"/>
      </w:tblGrid>
      <w:tr w14:paraId="3446B3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blHeader/>
          <w:jc w:val="center"/>
        </w:trPr>
        <w:tc>
          <w:tcPr>
            <w:tcW w:w="793" w:type="dxa"/>
            <w:shd w:val="clear" w:color="auto" w:fill="1F4E79"/>
            <w:vAlign w:val="center"/>
          </w:tcPr>
          <w:p w14:paraId="793B3CB8">
            <w:pPr>
              <w:spacing w:after="0" w:line="259" w:lineRule="auto"/>
              <w:jc w:val="center"/>
              <w:rPr>
                <w:rFonts w:hint="eastAsia"/>
                <w:sz w:val="24"/>
                <w:szCs w:val="24"/>
              </w:rPr>
            </w:pPr>
            <w:r>
              <w:rPr>
                <w:b/>
                <w:color w:val="FFFFFF"/>
                <w:sz w:val="24"/>
                <w:szCs w:val="24"/>
              </w:rPr>
              <w:t>序号</w:t>
            </w:r>
          </w:p>
        </w:tc>
        <w:tc>
          <w:tcPr>
            <w:tcW w:w="10489" w:type="dxa"/>
            <w:shd w:val="clear" w:color="auto" w:fill="1F4E79"/>
            <w:vAlign w:val="center"/>
          </w:tcPr>
          <w:p w14:paraId="709556E0">
            <w:pPr>
              <w:spacing w:after="0" w:line="259" w:lineRule="auto"/>
              <w:jc w:val="center"/>
              <w:rPr>
                <w:rFonts w:hint="eastAsia"/>
                <w:sz w:val="24"/>
                <w:szCs w:val="24"/>
              </w:rPr>
            </w:pPr>
            <w:r>
              <w:rPr>
                <w:b/>
                <w:color w:val="FFFFFF"/>
                <w:sz w:val="24"/>
                <w:szCs w:val="24"/>
              </w:rPr>
              <w:t>场景</w:t>
            </w:r>
          </w:p>
        </w:tc>
        <w:tc>
          <w:tcPr>
            <w:tcW w:w="1701" w:type="dxa"/>
            <w:shd w:val="clear" w:color="auto" w:fill="1F4E79"/>
            <w:vAlign w:val="center"/>
          </w:tcPr>
          <w:p w14:paraId="2C32CF47">
            <w:pPr>
              <w:spacing w:after="0" w:line="259" w:lineRule="auto"/>
              <w:jc w:val="center"/>
              <w:rPr>
                <w:rFonts w:hint="eastAsia"/>
                <w:sz w:val="24"/>
                <w:szCs w:val="24"/>
              </w:rPr>
            </w:pPr>
            <w:r>
              <w:rPr>
                <w:b/>
                <w:color w:val="FFFFFF"/>
                <w:sz w:val="24"/>
                <w:szCs w:val="24"/>
              </w:rPr>
              <w:t>提炼案例数</w:t>
            </w:r>
          </w:p>
        </w:tc>
      </w:tr>
      <w:tr w14:paraId="28769C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793" w:type="dxa"/>
            <w:vAlign w:val="center"/>
          </w:tcPr>
          <w:p w14:paraId="174F0463">
            <w:pPr>
              <w:spacing w:after="0" w:line="259" w:lineRule="auto"/>
              <w:jc w:val="center"/>
              <w:rPr>
                <w:rFonts w:hint="eastAsia"/>
                <w:sz w:val="24"/>
                <w:szCs w:val="24"/>
              </w:rPr>
            </w:pPr>
            <w:r>
              <w:rPr>
                <w:sz w:val="24"/>
                <w:szCs w:val="24"/>
              </w:rPr>
              <w:t>1</w:t>
            </w:r>
          </w:p>
        </w:tc>
        <w:tc>
          <w:tcPr>
            <w:tcW w:w="10489" w:type="dxa"/>
            <w:vAlign w:val="center"/>
          </w:tcPr>
          <w:p w14:paraId="4D681292">
            <w:pPr>
              <w:spacing w:after="0" w:line="259" w:lineRule="auto"/>
              <w:jc w:val="center"/>
              <w:rPr>
                <w:rFonts w:hint="eastAsia"/>
                <w:sz w:val="24"/>
                <w:szCs w:val="24"/>
                <w:lang w:eastAsia="zh-CN"/>
              </w:rPr>
            </w:pPr>
            <w:r>
              <w:rPr>
                <w:sz w:val="24"/>
                <w:szCs w:val="24"/>
                <w:lang w:eastAsia="zh-CN"/>
              </w:rPr>
              <w:t>就业、劳动管理与跨境 HR 数据场景</w:t>
            </w:r>
          </w:p>
        </w:tc>
        <w:tc>
          <w:tcPr>
            <w:tcW w:w="1701" w:type="dxa"/>
            <w:vAlign w:val="center"/>
          </w:tcPr>
          <w:p w14:paraId="2C9D4541">
            <w:pPr>
              <w:spacing w:after="0" w:line="259" w:lineRule="auto"/>
              <w:jc w:val="center"/>
              <w:rPr>
                <w:rFonts w:hint="eastAsia"/>
                <w:sz w:val="24"/>
                <w:szCs w:val="24"/>
              </w:rPr>
            </w:pPr>
            <w:r>
              <w:rPr>
                <w:sz w:val="24"/>
                <w:szCs w:val="24"/>
              </w:rPr>
              <w:t>12</w:t>
            </w:r>
          </w:p>
        </w:tc>
      </w:tr>
      <w:tr w14:paraId="057743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793" w:type="dxa"/>
            <w:shd w:val="clear" w:color="auto" w:fill="F7F7F7"/>
            <w:vAlign w:val="center"/>
          </w:tcPr>
          <w:p w14:paraId="6968CFFC">
            <w:pPr>
              <w:spacing w:after="0" w:line="259" w:lineRule="auto"/>
              <w:jc w:val="center"/>
              <w:rPr>
                <w:rFonts w:hint="eastAsia"/>
                <w:sz w:val="24"/>
                <w:szCs w:val="24"/>
              </w:rPr>
            </w:pPr>
            <w:r>
              <w:rPr>
                <w:sz w:val="24"/>
                <w:szCs w:val="24"/>
              </w:rPr>
              <w:t>2</w:t>
            </w:r>
          </w:p>
        </w:tc>
        <w:tc>
          <w:tcPr>
            <w:tcW w:w="10489" w:type="dxa"/>
            <w:shd w:val="clear" w:color="auto" w:fill="F7F7F7"/>
            <w:vAlign w:val="center"/>
          </w:tcPr>
          <w:p w14:paraId="74FFED01">
            <w:pPr>
              <w:spacing w:after="0" w:line="259" w:lineRule="auto"/>
              <w:jc w:val="center"/>
              <w:rPr>
                <w:rFonts w:hint="eastAsia"/>
                <w:sz w:val="24"/>
                <w:szCs w:val="24"/>
                <w:lang w:eastAsia="zh-CN"/>
              </w:rPr>
            </w:pPr>
            <w:r>
              <w:rPr>
                <w:sz w:val="24"/>
                <w:szCs w:val="24"/>
                <w:lang w:eastAsia="zh-CN"/>
              </w:rPr>
              <w:t>智能网联汽车、车联网与出行平台场景</w:t>
            </w:r>
          </w:p>
        </w:tc>
        <w:tc>
          <w:tcPr>
            <w:tcW w:w="1701" w:type="dxa"/>
            <w:shd w:val="clear" w:color="auto" w:fill="F7F7F7"/>
            <w:vAlign w:val="center"/>
          </w:tcPr>
          <w:p w14:paraId="1934463D">
            <w:pPr>
              <w:spacing w:after="0" w:line="259" w:lineRule="auto"/>
              <w:jc w:val="center"/>
              <w:rPr>
                <w:rFonts w:hint="eastAsia"/>
                <w:sz w:val="24"/>
                <w:szCs w:val="24"/>
              </w:rPr>
            </w:pPr>
            <w:r>
              <w:rPr>
                <w:sz w:val="24"/>
                <w:szCs w:val="24"/>
              </w:rPr>
              <w:t>7</w:t>
            </w:r>
          </w:p>
        </w:tc>
      </w:tr>
      <w:tr w14:paraId="42848C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793" w:type="dxa"/>
            <w:vAlign w:val="center"/>
          </w:tcPr>
          <w:p w14:paraId="4B7252FD">
            <w:pPr>
              <w:spacing w:after="0" w:line="259" w:lineRule="auto"/>
              <w:jc w:val="center"/>
              <w:rPr>
                <w:rFonts w:hint="eastAsia"/>
                <w:sz w:val="24"/>
                <w:szCs w:val="24"/>
              </w:rPr>
            </w:pPr>
            <w:r>
              <w:rPr>
                <w:sz w:val="24"/>
                <w:szCs w:val="24"/>
              </w:rPr>
              <w:t>3</w:t>
            </w:r>
          </w:p>
        </w:tc>
        <w:tc>
          <w:tcPr>
            <w:tcW w:w="10489" w:type="dxa"/>
            <w:vAlign w:val="center"/>
          </w:tcPr>
          <w:p w14:paraId="7BE6A37A">
            <w:pPr>
              <w:spacing w:after="0" w:line="259" w:lineRule="auto"/>
              <w:jc w:val="center"/>
              <w:rPr>
                <w:rFonts w:hint="eastAsia"/>
                <w:sz w:val="24"/>
                <w:szCs w:val="24"/>
                <w:lang w:eastAsia="zh-CN"/>
              </w:rPr>
            </w:pPr>
            <w:r>
              <w:rPr>
                <w:sz w:val="24"/>
                <w:szCs w:val="24"/>
                <w:lang w:eastAsia="zh-CN"/>
              </w:rPr>
              <w:t>医疗健康数据与敏感个人信息保护场景</w:t>
            </w:r>
          </w:p>
        </w:tc>
        <w:tc>
          <w:tcPr>
            <w:tcW w:w="1701" w:type="dxa"/>
            <w:vAlign w:val="center"/>
          </w:tcPr>
          <w:p w14:paraId="5A1A6AEB">
            <w:pPr>
              <w:spacing w:after="0" w:line="259" w:lineRule="auto"/>
              <w:jc w:val="center"/>
              <w:rPr>
                <w:rFonts w:hint="eastAsia"/>
                <w:sz w:val="24"/>
                <w:szCs w:val="24"/>
              </w:rPr>
            </w:pPr>
            <w:r>
              <w:rPr>
                <w:sz w:val="24"/>
                <w:szCs w:val="24"/>
              </w:rPr>
              <w:t>5</w:t>
            </w:r>
          </w:p>
        </w:tc>
      </w:tr>
      <w:tr w14:paraId="2AC76C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793" w:type="dxa"/>
            <w:shd w:val="clear" w:color="auto" w:fill="F7F7F7"/>
            <w:vAlign w:val="center"/>
          </w:tcPr>
          <w:p w14:paraId="721EDB26">
            <w:pPr>
              <w:spacing w:after="0" w:line="259" w:lineRule="auto"/>
              <w:jc w:val="center"/>
              <w:rPr>
                <w:rFonts w:hint="eastAsia"/>
                <w:sz w:val="24"/>
                <w:szCs w:val="24"/>
              </w:rPr>
            </w:pPr>
            <w:r>
              <w:rPr>
                <w:sz w:val="24"/>
                <w:szCs w:val="24"/>
              </w:rPr>
              <w:t>4</w:t>
            </w:r>
          </w:p>
        </w:tc>
        <w:tc>
          <w:tcPr>
            <w:tcW w:w="10489" w:type="dxa"/>
            <w:shd w:val="clear" w:color="auto" w:fill="F7F7F7"/>
            <w:vAlign w:val="center"/>
          </w:tcPr>
          <w:p w14:paraId="24CA4175">
            <w:pPr>
              <w:spacing w:after="0" w:line="259" w:lineRule="auto"/>
              <w:jc w:val="center"/>
              <w:rPr>
                <w:rFonts w:hint="eastAsia"/>
                <w:sz w:val="24"/>
                <w:szCs w:val="24"/>
                <w:lang w:eastAsia="zh-CN"/>
              </w:rPr>
            </w:pPr>
            <w:r>
              <w:rPr>
                <w:sz w:val="24"/>
                <w:szCs w:val="24"/>
                <w:lang w:eastAsia="zh-CN"/>
              </w:rPr>
              <w:t>金融征信与金融数据安全场景</w:t>
            </w:r>
          </w:p>
        </w:tc>
        <w:tc>
          <w:tcPr>
            <w:tcW w:w="1701" w:type="dxa"/>
            <w:shd w:val="clear" w:color="auto" w:fill="F7F7F7"/>
            <w:vAlign w:val="center"/>
          </w:tcPr>
          <w:p w14:paraId="7E3DFAB2">
            <w:pPr>
              <w:spacing w:after="0" w:line="259" w:lineRule="auto"/>
              <w:jc w:val="center"/>
              <w:rPr>
                <w:rFonts w:hint="eastAsia"/>
                <w:sz w:val="24"/>
                <w:szCs w:val="24"/>
              </w:rPr>
            </w:pPr>
            <w:r>
              <w:rPr>
                <w:sz w:val="24"/>
                <w:szCs w:val="24"/>
              </w:rPr>
              <w:t>3</w:t>
            </w:r>
          </w:p>
        </w:tc>
      </w:tr>
      <w:tr w14:paraId="2151C5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793" w:type="dxa"/>
            <w:vAlign w:val="center"/>
          </w:tcPr>
          <w:p w14:paraId="3FA05BBF">
            <w:pPr>
              <w:spacing w:after="0" w:line="259" w:lineRule="auto"/>
              <w:jc w:val="center"/>
              <w:rPr>
                <w:rFonts w:hint="eastAsia"/>
                <w:sz w:val="24"/>
                <w:szCs w:val="24"/>
              </w:rPr>
            </w:pPr>
            <w:r>
              <w:rPr>
                <w:sz w:val="24"/>
                <w:szCs w:val="24"/>
              </w:rPr>
              <w:t>5</w:t>
            </w:r>
          </w:p>
        </w:tc>
        <w:tc>
          <w:tcPr>
            <w:tcW w:w="10489" w:type="dxa"/>
            <w:vAlign w:val="center"/>
          </w:tcPr>
          <w:p w14:paraId="05EC8BC0">
            <w:pPr>
              <w:spacing w:after="0" w:line="259" w:lineRule="auto"/>
              <w:jc w:val="center"/>
              <w:rPr>
                <w:rFonts w:hint="eastAsia"/>
                <w:sz w:val="24"/>
                <w:szCs w:val="24"/>
                <w:lang w:eastAsia="zh-CN"/>
              </w:rPr>
            </w:pPr>
            <w:r>
              <w:rPr>
                <w:sz w:val="24"/>
                <w:szCs w:val="24"/>
                <w:lang w:eastAsia="zh-CN"/>
              </w:rPr>
              <w:t>儿童与未成年人个人信息保护场景</w:t>
            </w:r>
          </w:p>
        </w:tc>
        <w:tc>
          <w:tcPr>
            <w:tcW w:w="1701" w:type="dxa"/>
            <w:vAlign w:val="center"/>
          </w:tcPr>
          <w:p w14:paraId="5EBA04AA">
            <w:pPr>
              <w:spacing w:after="0" w:line="259" w:lineRule="auto"/>
              <w:jc w:val="center"/>
              <w:rPr>
                <w:rFonts w:hint="eastAsia"/>
                <w:sz w:val="24"/>
                <w:szCs w:val="24"/>
              </w:rPr>
            </w:pPr>
            <w:r>
              <w:rPr>
                <w:sz w:val="24"/>
                <w:szCs w:val="24"/>
              </w:rPr>
              <w:t>4</w:t>
            </w:r>
          </w:p>
        </w:tc>
      </w:tr>
      <w:tr w14:paraId="058CBD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793" w:type="dxa"/>
            <w:shd w:val="clear" w:color="auto" w:fill="F7F7F7"/>
            <w:vAlign w:val="center"/>
          </w:tcPr>
          <w:p w14:paraId="5909EE43">
            <w:pPr>
              <w:spacing w:after="0" w:line="259" w:lineRule="auto"/>
              <w:jc w:val="center"/>
              <w:rPr>
                <w:rFonts w:hint="eastAsia"/>
                <w:sz w:val="24"/>
                <w:szCs w:val="24"/>
              </w:rPr>
            </w:pPr>
            <w:r>
              <w:rPr>
                <w:sz w:val="24"/>
                <w:szCs w:val="24"/>
              </w:rPr>
              <w:t>6</w:t>
            </w:r>
          </w:p>
        </w:tc>
        <w:tc>
          <w:tcPr>
            <w:tcW w:w="10489" w:type="dxa"/>
            <w:shd w:val="clear" w:color="auto" w:fill="F7F7F7"/>
            <w:vAlign w:val="center"/>
          </w:tcPr>
          <w:p w14:paraId="6D066664">
            <w:pPr>
              <w:spacing w:after="0" w:line="259" w:lineRule="auto"/>
              <w:jc w:val="center"/>
              <w:rPr>
                <w:rFonts w:hint="eastAsia"/>
                <w:sz w:val="24"/>
                <w:szCs w:val="24"/>
                <w:lang w:eastAsia="zh-CN"/>
              </w:rPr>
            </w:pPr>
            <w:r>
              <w:rPr>
                <w:sz w:val="24"/>
                <w:szCs w:val="24"/>
                <w:lang w:eastAsia="zh-CN"/>
              </w:rPr>
              <w:t>AI 时代一体化数字营销、画像与广告推荐场景</w:t>
            </w:r>
          </w:p>
        </w:tc>
        <w:tc>
          <w:tcPr>
            <w:tcW w:w="1701" w:type="dxa"/>
            <w:shd w:val="clear" w:color="auto" w:fill="F7F7F7"/>
            <w:vAlign w:val="center"/>
          </w:tcPr>
          <w:p w14:paraId="2992F34E">
            <w:pPr>
              <w:spacing w:after="0" w:line="259" w:lineRule="auto"/>
              <w:jc w:val="center"/>
              <w:rPr>
                <w:rFonts w:hint="eastAsia"/>
                <w:sz w:val="24"/>
                <w:szCs w:val="24"/>
              </w:rPr>
            </w:pPr>
            <w:r>
              <w:rPr>
                <w:sz w:val="24"/>
                <w:szCs w:val="24"/>
              </w:rPr>
              <w:t>3</w:t>
            </w:r>
          </w:p>
        </w:tc>
      </w:tr>
      <w:tr w14:paraId="61747E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793" w:type="dxa"/>
            <w:vAlign w:val="center"/>
          </w:tcPr>
          <w:p w14:paraId="0344DF6D">
            <w:pPr>
              <w:spacing w:after="0" w:line="259" w:lineRule="auto"/>
              <w:jc w:val="center"/>
              <w:rPr>
                <w:rFonts w:hint="eastAsia"/>
                <w:sz w:val="24"/>
                <w:szCs w:val="24"/>
              </w:rPr>
            </w:pPr>
            <w:r>
              <w:rPr>
                <w:sz w:val="24"/>
                <w:szCs w:val="24"/>
              </w:rPr>
              <w:t>7</w:t>
            </w:r>
          </w:p>
        </w:tc>
        <w:tc>
          <w:tcPr>
            <w:tcW w:w="10489" w:type="dxa"/>
            <w:vAlign w:val="center"/>
          </w:tcPr>
          <w:p w14:paraId="043BFB4B">
            <w:pPr>
              <w:spacing w:after="0" w:line="259" w:lineRule="auto"/>
              <w:jc w:val="center"/>
              <w:rPr>
                <w:rFonts w:hint="eastAsia"/>
                <w:sz w:val="24"/>
                <w:szCs w:val="24"/>
                <w:lang w:eastAsia="zh-CN"/>
              </w:rPr>
            </w:pPr>
            <w:r>
              <w:rPr>
                <w:sz w:val="24"/>
                <w:szCs w:val="24"/>
                <w:lang w:eastAsia="zh-CN"/>
              </w:rPr>
              <w:t>AIGC 竞争法保护与反垄断治理场景</w:t>
            </w:r>
          </w:p>
        </w:tc>
        <w:tc>
          <w:tcPr>
            <w:tcW w:w="1701" w:type="dxa"/>
            <w:vAlign w:val="center"/>
          </w:tcPr>
          <w:p w14:paraId="0C24238D">
            <w:pPr>
              <w:spacing w:after="0" w:line="259" w:lineRule="auto"/>
              <w:jc w:val="center"/>
              <w:rPr>
                <w:rFonts w:hint="eastAsia"/>
                <w:sz w:val="24"/>
                <w:szCs w:val="24"/>
              </w:rPr>
            </w:pPr>
            <w:r>
              <w:rPr>
                <w:sz w:val="24"/>
                <w:szCs w:val="24"/>
              </w:rPr>
              <w:t>3</w:t>
            </w:r>
          </w:p>
        </w:tc>
      </w:tr>
      <w:tr w14:paraId="370D7C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793" w:type="dxa"/>
            <w:shd w:val="clear" w:color="auto" w:fill="F7F7F7"/>
            <w:vAlign w:val="center"/>
          </w:tcPr>
          <w:p w14:paraId="4D1D3EDD">
            <w:pPr>
              <w:spacing w:after="0" w:line="259" w:lineRule="auto"/>
              <w:jc w:val="center"/>
              <w:rPr>
                <w:rFonts w:hint="eastAsia"/>
                <w:sz w:val="24"/>
                <w:szCs w:val="24"/>
              </w:rPr>
            </w:pPr>
            <w:r>
              <w:rPr>
                <w:sz w:val="24"/>
                <w:szCs w:val="24"/>
              </w:rPr>
              <w:t>8</w:t>
            </w:r>
          </w:p>
        </w:tc>
        <w:tc>
          <w:tcPr>
            <w:tcW w:w="10489" w:type="dxa"/>
            <w:shd w:val="clear" w:color="auto" w:fill="F7F7F7"/>
            <w:vAlign w:val="center"/>
          </w:tcPr>
          <w:p w14:paraId="76018BC2">
            <w:pPr>
              <w:spacing w:after="0" w:line="259" w:lineRule="auto"/>
              <w:jc w:val="center"/>
              <w:rPr>
                <w:rFonts w:hint="eastAsia"/>
                <w:sz w:val="24"/>
                <w:szCs w:val="24"/>
                <w:lang w:eastAsia="zh-CN"/>
              </w:rPr>
            </w:pPr>
            <w:r>
              <w:rPr>
                <w:sz w:val="24"/>
                <w:szCs w:val="24"/>
                <w:lang w:eastAsia="zh-CN"/>
              </w:rPr>
              <w:t>网络暴力、中国治理与人格权益保护场景</w:t>
            </w:r>
          </w:p>
        </w:tc>
        <w:tc>
          <w:tcPr>
            <w:tcW w:w="1701" w:type="dxa"/>
            <w:shd w:val="clear" w:color="auto" w:fill="F7F7F7"/>
            <w:vAlign w:val="center"/>
          </w:tcPr>
          <w:p w14:paraId="345B8BC3">
            <w:pPr>
              <w:spacing w:after="0" w:line="259" w:lineRule="auto"/>
              <w:jc w:val="center"/>
              <w:rPr>
                <w:rFonts w:hint="eastAsia"/>
                <w:sz w:val="24"/>
                <w:szCs w:val="24"/>
              </w:rPr>
            </w:pPr>
            <w:r>
              <w:rPr>
                <w:sz w:val="24"/>
                <w:szCs w:val="24"/>
              </w:rPr>
              <w:t>3</w:t>
            </w:r>
          </w:p>
        </w:tc>
      </w:tr>
      <w:tr w14:paraId="6FD2F5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793" w:type="dxa"/>
            <w:vAlign w:val="center"/>
          </w:tcPr>
          <w:p w14:paraId="1B5EB722">
            <w:pPr>
              <w:spacing w:after="0" w:line="259" w:lineRule="auto"/>
              <w:jc w:val="center"/>
              <w:rPr>
                <w:rFonts w:hint="eastAsia"/>
                <w:sz w:val="24"/>
                <w:szCs w:val="24"/>
              </w:rPr>
            </w:pPr>
            <w:r>
              <w:rPr>
                <w:sz w:val="24"/>
                <w:szCs w:val="24"/>
              </w:rPr>
              <w:t>9</w:t>
            </w:r>
          </w:p>
        </w:tc>
        <w:tc>
          <w:tcPr>
            <w:tcW w:w="10489" w:type="dxa"/>
            <w:vAlign w:val="center"/>
          </w:tcPr>
          <w:p w14:paraId="1BA443FC">
            <w:pPr>
              <w:spacing w:after="0" w:line="259" w:lineRule="auto"/>
              <w:jc w:val="center"/>
              <w:rPr>
                <w:rFonts w:hint="eastAsia"/>
                <w:sz w:val="24"/>
                <w:szCs w:val="24"/>
                <w:lang w:eastAsia="zh-CN"/>
              </w:rPr>
            </w:pPr>
            <w:r>
              <w:rPr>
                <w:sz w:val="24"/>
                <w:szCs w:val="24"/>
                <w:lang w:eastAsia="zh-CN"/>
              </w:rPr>
              <w:t>物联网安全、智慧司法与电子取证场景</w:t>
            </w:r>
          </w:p>
        </w:tc>
        <w:tc>
          <w:tcPr>
            <w:tcW w:w="1701" w:type="dxa"/>
            <w:vAlign w:val="center"/>
          </w:tcPr>
          <w:p w14:paraId="07D0C99B">
            <w:pPr>
              <w:spacing w:after="0" w:line="259" w:lineRule="auto"/>
              <w:jc w:val="center"/>
              <w:rPr>
                <w:rFonts w:hint="eastAsia"/>
                <w:sz w:val="24"/>
                <w:szCs w:val="24"/>
              </w:rPr>
            </w:pPr>
            <w:r>
              <w:rPr>
                <w:sz w:val="24"/>
                <w:szCs w:val="24"/>
              </w:rPr>
              <w:t>35</w:t>
            </w:r>
          </w:p>
        </w:tc>
      </w:tr>
      <w:tr w14:paraId="2C0681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793" w:type="dxa"/>
            <w:shd w:val="clear" w:color="auto" w:fill="F7F7F7"/>
            <w:vAlign w:val="center"/>
          </w:tcPr>
          <w:p w14:paraId="0B20560A">
            <w:pPr>
              <w:spacing w:after="0" w:line="259" w:lineRule="auto"/>
              <w:jc w:val="center"/>
              <w:rPr>
                <w:rFonts w:hint="eastAsia"/>
                <w:sz w:val="24"/>
                <w:szCs w:val="24"/>
              </w:rPr>
            </w:pPr>
            <w:r>
              <w:rPr>
                <w:sz w:val="24"/>
                <w:szCs w:val="24"/>
              </w:rPr>
              <w:t>10</w:t>
            </w:r>
          </w:p>
        </w:tc>
        <w:tc>
          <w:tcPr>
            <w:tcW w:w="10489" w:type="dxa"/>
            <w:shd w:val="clear" w:color="auto" w:fill="F7F7F7"/>
            <w:vAlign w:val="center"/>
          </w:tcPr>
          <w:p w14:paraId="729175E7">
            <w:pPr>
              <w:spacing w:after="0" w:line="259" w:lineRule="auto"/>
              <w:jc w:val="center"/>
              <w:rPr>
                <w:rFonts w:hint="eastAsia"/>
                <w:sz w:val="24"/>
                <w:szCs w:val="24"/>
                <w:lang w:eastAsia="zh-CN"/>
              </w:rPr>
            </w:pPr>
            <w:r>
              <w:rPr>
                <w:sz w:val="24"/>
                <w:szCs w:val="24"/>
                <w:lang w:eastAsia="zh-CN"/>
              </w:rPr>
              <w:t>公共数据授权运营、开放利用与行政垄断风险防范场景</w:t>
            </w:r>
          </w:p>
        </w:tc>
        <w:tc>
          <w:tcPr>
            <w:tcW w:w="1701" w:type="dxa"/>
            <w:shd w:val="clear" w:color="auto" w:fill="F7F7F7"/>
            <w:vAlign w:val="center"/>
          </w:tcPr>
          <w:p w14:paraId="51650891">
            <w:pPr>
              <w:spacing w:after="0" w:line="259" w:lineRule="auto"/>
              <w:jc w:val="center"/>
              <w:rPr>
                <w:rFonts w:hint="eastAsia"/>
                <w:sz w:val="24"/>
                <w:szCs w:val="24"/>
              </w:rPr>
            </w:pPr>
            <w:r>
              <w:rPr>
                <w:sz w:val="24"/>
                <w:szCs w:val="24"/>
              </w:rPr>
              <w:t>2</w:t>
            </w:r>
          </w:p>
        </w:tc>
      </w:tr>
    </w:tbl>
    <w:p w14:paraId="10901DDE">
      <w:pPr>
        <w:pStyle w:val="165"/>
        <w:spacing w:after="80"/>
        <w:rPr>
          <w:rFonts w:hint="eastAsia" w:ascii="黑体" w:hAnsi="黑体" w:eastAsia="黑体"/>
          <w:color w:val="auto"/>
          <w:sz w:val="28"/>
          <w:szCs w:val="28"/>
          <w:lang w:eastAsia="zh-CN"/>
        </w:rPr>
      </w:pPr>
      <w:r>
        <w:rPr>
          <w:rFonts w:ascii="黑体" w:hAnsi="黑体" w:eastAsia="黑体"/>
          <w:b w:val="0"/>
          <w:color w:val="auto"/>
          <w:sz w:val="28"/>
          <w:szCs w:val="28"/>
          <w:lang w:eastAsia="zh-CN"/>
        </w:rPr>
        <w:t>二、分场景真实案例提炼清单</w:t>
      </w:r>
    </w:p>
    <w:p w14:paraId="03D695F5">
      <w:pPr>
        <w:pStyle w:val="165"/>
        <w:spacing w:after="80"/>
        <w:rPr>
          <w:rFonts w:hint="eastAsia"/>
          <w:color w:val="auto"/>
          <w:sz w:val="24"/>
          <w:szCs w:val="24"/>
          <w:lang w:eastAsia="zh-CN"/>
        </w:rPr>
      </w:pPr>
      <w:r>
        <w:rPr>
          <w:rFonts w:hint="eastAsia"/>
          <w:b w:val="0"/>
          <w:color w:val="auto"/>
          <w:sz w:val="24"/>
          <w:szCs w:val="24"/>
          <w:lang w:eastAsia="zh-CN"/>
        </w:rPr>
        <w:t>1</w:t>
      </w:r>
      <w:r>
        <w:rPr>
          <w:b w:val="0"/>
          <w:color w:val="auto"/>
          <w:sz w:val="24"/>
          <w:szCs w:val="24"/>
          <w:lang w:eastAsia="zh-CN"/>
        </w:rPr>
        <w:t>、就业、劳动管理与跨境 HR 数据场景</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4762"/>
        <w:gridCol w:w="3969"/>
        <w:gridCol w:w="4536"/>
      </w:tblGrid>
      <w:tr w14:paraId="6F652E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tcW w:w="2268" w:type="dxa"/>
            <w:shd w:val="clear" w:color="auto" w:fill="1F4E79"/>
            <w:vAlign w:val="center"/>
          </w:tcPr>
          <w:p w14:paraId="6DEB8C9A">
            <w:pPr>
              <w:spacing w:after="0" w:line="252" w:lineRule="auto"/>
              <w:jc w:val="center"/>
              <w:rPr>
                <w:rFonts w:hint="eastAsia"/>
                <w:sz w:val="24"/>
                <w:szCs w:val="24"/>
              </w:rPr>
            </w:pPr>
            <w:r>
              <w:rPr>
                <w:b/>
                <w:color w:val="FFFFFF"/>
                <w:sz w:val="24"/>
                <w:szCs w:val="24"/>
              </w:rPr>
              <w:t>案例名称</w:t>
            </w:r>
          </w:p>
        </w:tc>
        <w:tc>
          <w:tcPr>
            <w:tcW w:w="4762" w:type="dxa"/>
            <w:shd w:val="clear" w:color="auto" w:fill="1F4E79"/>
            <w:vAlign w:val="center"/>
          </w:tcPr>
          <w:p w14:paraId="007DD999">
            <w:pPr>
              <w:spacing w:after="0" w:line="252" w:lineRule="auto"/>
              <w:jc w:val="center"/>
              <w:rPr>
                <w:rFonts w:hint="eastAsia"/>
                <w:sz w:val="24"/>
                <w:szCs w:val="24"/>
              </w:rPr>
            </w:pPr>
            <w:r>
              <w:rPr>
                <w:b/>
                <w:color w:val="FFFFFF"/>
                <w:sz w:val="24"/>
                <w:szCs w:val="24"/>
              </w:rPr>
              <w:t>具体案情提炼</w:t>
            </w:r>
          </w:p>
        </w:tc>
        <w:tc>
          <w:tcPr>
            <w:tcW w:w="3969" w:type="dxa"/>
            <w:shd w:val="clear" w:color="auto" w:fill="1F4E79"/>
            <w:vAlign w:val="center"/>
          </w:tcPr>
          <w:p w14:paraId="77117A8D">
            <w:pPr>
              <w:spacing w:after="0" w:line="252" w:lineRule="auto"/>
              <w:jc w:val="center"/>
              <w:rPr>
                <w:rFonts w:hint="eastAsia"/>
                <w:sz w:val="24"/>
                <w:szCs w:val="24"/>
              </w:rPr>
            </w:pPr>
            <w:r>
              <w:rPr>
                <w:b/>
                <w:color w:val="FFFFFF"/>
                <w:sz w:val="24"/>
                <w:szCs w:val="24"/>
              </w:rPr>
              <w:t>涉案法条</w:t>
            </w:r>
          </w:p>
        </w:tc>
        <w:tc>
          <w:tcPr>
            <w:tcW w:w="4536" w:type="dxa"/>
            <w:shd w:val="clear" w:color="auto" w:fill="1F4E79"/>
            <w:vAlign w:val="center"/>
          </w:tcPr>
          <w:p w14:paraId="7497675C">
            <w:pPr>
              <w:spacing w:after="0" w:line="252" w:lineRule="auto"/>
              <w:jc w:val="center"/>
              <w:rPr>
                <w:rFonts w:hint="eastAsia"/>
                <w:sz w:val="24"/>
                <w:szCs w:val="24"/>
              </w:rPr>
            </w:pPr>
            <w:r>
              <w:rPr>
                <w:b/>
                <w:color w:val="FFFFFF"/>
                <w:sz w:val="24"/>
                <w:szCs w:val="24"/>
              </w:rPr>
              <w:t>案例分析</w:t>
            </w:r>
            <w:r>
              <w:rPr>
                <w:rFonts w:hint="eastAsia"/>
                <w:b/>
                <w:color w:val="FFFFFF"/>
                <w:sz w:val="24"/>
                <w:szCs w:val="24"/>
                <w:lang w:val="en-US" w:eastAsia="zh-CN"/>
              </w:rPr>
              <w:t>启</w:t>
            </w:r>
            <w:r>
              <w:rPr>
                <w:b/>
                <w:color w:val="FFFFFF"/>
                <w:sz w:val="24"/>
                <w:szCs w:val="24"/>
              </w:rPr>
              <w:t>示</w:t>
            </w:r>
          </w:p>
        </w:tc>
      </w:tr>
      <w:tr w14:paraId="1F712B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7BABA38">
            <w:pPr>
              <w:spacing w:after="0" w:line="252" w:lineRule="auto"/>
              <w:rPr>
                <w:rFonts w:hint="eastAsia"/>
                <w:sz w:val="24"/>
                <w:szCs w:val="24"/>
                <w:lang w:eastAsia="zh-CN"/>
              </w:rPr>
            </w:pPr>
            <w:r>
              <w:rPr>
                <w:sz w:val="24"/>
                <w:szCs w:val="24"/>
                <w:lang w:eastAsia="zh-CN"/>
              </w:rPr>
              <w:t>1. 虚假招聘侵害个人信息案</w:t>
            </w:r>
          </w:p>
        </w:tc>
        <w:tc>
          <w:tcPr>
            <w:tcW w:w="4762" w:type="dxa"/>
            <w:vAlign w:val="center"/>
          </w:tcPr>
          <w:p w14:paraId="7186C730">
            <w:pPr>
              <w:spacing w:after="0" w:line="252" w:lineRule="auto"/>
              <w:rPr>
                <w:rFonts w:hint="eastAsia"/>
                <w:sz w:val="24"/>
                <w:szCs w:val="24"/>
                <w:lang w:eastAsia="zh-CN"/>
              </w:rPr>
            </w:pPr>
            <w:r>
              <w:rPr>
                <w:sz w:val="24"/>
                <w:szCs w:val="24"/>
                <w:lang w:eastAsia="zh-CN"/>
              </w:rPr>
              <w:t>不法分子虚假注册企业或冒用公司名义，在招聘网站发布虚假岗位，获取求职者简历中的姓名、手机号、籍贯、学校、专业、工作经历等信息并出售牟利；涉个人信息约 3.7 万余条，平台存在企业审核、脱敏和异常下载监测不足。</w:t>
            </w:r>
          </w:p>
        </w:tc>
        <w:tc>
          <w:tcPr>
            <w:tcW w:w="3969" w:type="dxa"/>
            <w:vAlign w:val="center"/>
          </w:tcPr>
          <w:p w14:paraId="5A947C44">
            <w:pPr>
              <w:spacing w:after="0" w:line="252" w:lineRule="auto"/>
              <w:rPr>
                <w:rFonts w:hint="eastAsia"/>
                <w:sz w:val="24"/>
                <w:szCs w:val="24"/>
                <w:lang w:eastAsia="zh-CN"/>
              </w:rPr>
            </w:pPr>
            <w:r>
              <w:rPr>
                <w:sz w:val="24"/>
                <w:szCs w:val="24"/>
                <w:lang w:eastAsia="zh-CN"/>
              </w:rPr>
              <w:t>《个人信息保护法》第5条、第6条、第10条、第17条、第51条；《网络安全法》第42条；刑事层面可涉及侵犯公民个人信息罪。</w:t>
            </w:r>
          </w:p>
        </w:tc>
        <w:tc>
          <w:tcPr>
            <w:tcW w:w="4536" w:type="dxa"/>
            <w:vAlign w:val="center"/>
          </w:tcPr>
          <w:p w14:paraId="0D70120D">
            <w:pPr>
              <w:spacing w:after="0" w:line="252" w:lineRule="auto"/>
              <w:rPr>
                <w:rFonts w:hint="eastAsia"/>
                <w:sz w:val="24"/>
                <w:szCs w:val="24"/>
                <w:lang w:eastAsia="zh-CN"/>
              </w:rPr>
            </w:pPr>
            <w:r>
              <w:rPr>
                <w:sz w:val="24"/>
                <w:szCs w:val="24"/>
                <w:lang w:eastAsia="zh-CN"/>
              </w:rPr>
              <w:t>简历属于高密度个人信息集合。招聘平台不仅要审查企业真实性，还应限制下载权限、脱敏展示、监测批量抓取，并对虚假招聘、账号转售等行为及时封禁和报告。</w:t>
            </w:r>
          </w:p>
        </w:tc>
      </w:tr>
      <w:tr w14:paraId="2F7302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53AF0D92">
            <w:pPr>
              <w:spacing w:after="0" w:line="252" w:lineRule="auto"/>
              <w:rPr>
                <w:rFonts w:hint="eastAsia"/>
                <w:sz w:val="24"/>
                <w:szCs w:val="24"/>
                <w:lang w:eastAsia="zh-CN"/>
              </w:rPr>
            </w:pPr>
            <w:r>
              <w:rPr>
                <w:sz w:val="24"/>
                <w:szCs w:val="24"/>
                <w:lang w:eastAsia="zh-CN"/>
              </w:rPr>
              <w:t>2. 智联招聘员工参与倒卖简历案</w:t>
            </w:r>
          </w:p>
        </w:tc>
        <w:tc>
          <w:tcPr>
            <w:tcW w:w="4762" w:type="dxa"/>
            <w:shd w:val="clear" w:color="auto" w:fill="F7F7F7"/>
            <w:vAlign w:val="center"/>
          </w:tcPr>
          <w:p w14:paraId="7DA87825">
            <w:pPr>
              <w:spacing w:after="0" w:line="252" w:lineRule="auto"/>
              <w:rPr>
                <w:rFonts w:hint="eastAsia"/>
                <w:sz w:val="24"/>
                <w:szCs w:val="24"/>
                <w:lang w:eastAsia="zh-CN"/>
              </w:rPr>
            </w:pPr>
            <w:r>
              <w:rPr>
                <w:sz w:val="24"/>
                <w:szCs w:val="24"/>
                <w:lang w:eastAsia="zh-CN"/>
              </w:rPr>
              <w:t>淘宝店主通过伪造企业营业执照，从智联招聘工作人员处获取企业会员账号，大量下载公民简历并以约 5 元/份价格出售，涉简历 16 万余份。</w:t>
            </w:r>
          </w:p>
        </w:tc>
        <w:tc>
          <w:tcPr>
            <w:tcW w:w="3969" w:type="dxa"/>
            <w:shd w:val="clear" w:color="auto" w:fill="F7F7F7"/>
            <w:vAlign w:val="center"/>
          </w:tcPr>
          <w:p w14:paraId="4316290A">
            <w:pPr>
              <w:spacing w:after="0" w:line="252" w:lineRule="auto"/>
              <w:rPr>
                <w:rFonts w:hint="eastAsia"/>
                <w:sz w:val="24"/>
                <w:szCs w:val="24"/>
                <w:lang w:eastAsia="zh-CN"/>
              </w:rPr>
            </w:pPr>
            <w:r>
              <w:rPr>
                <w:sz w:val="24"/>
                <w:szCs w:val="24"/>
                <w:lang w:eastAsia="zh-CN"/>
              </w:rPr>
              <w:t>《个人信息保护法》第10条、第51条；《网络安全法》第42条；《刑法》第253条之一侵犯公民个人信息罪。</w:t>
            </w:r>
          </w:p>
        </w:tc>
        <w:tc>
          <w:tcPr>
            <w:tcW w:w="4536" w:type="dxa"/>
            <w:shd w:val="clear" w:color="auto" w:fill="F7F7F7"/>
            <w:vAlign w:val="center"/>
          </w:tcPr>
          <w:p w14:paraId="44313960">
            <w:pPr>
              <w:spacing w:after="0" w:line="252" w:lineRule="auto"/>
              <w:rPr>
                <w:rFonts w:hint="eastAsia"/>
                <w:sz w:val="24"/>
                <w:szCs w:val="24"/>
                <w:lang w:eastAsia="zh-CN"/>
              </w:rPr>
            </w:pPr>
            <w:r>
              <w:rPr>
                <w:sz w:val="24"/>
                <w:szCs w:val="24"/>
                <w:lang w:eastAsia="zh-CN"/>
              </w:rPr>
              <w:t>平台内部员工权限同样是个人信息保护的核心风险。企业应建立最小权限、访问日志、异常下载告警和离职权限回收机制，不能只做外部企业资质审核。</w:t>
            </w:r>
          </w:p>
        </w:tc>
      </w:tr>
      <w:tr w14:paraId="06C147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A30CE4F">
            <w:pPr>
              <w:spacing w:after="0" w:line="252" w:lineRule="auto"/>
              <w:rPr>
                <w:rFonts w:hint="eastAsia"/>
                <w:sz w:val="24"/>
                <w:szCs w:val="24"/>
              </w:rPr>
            </w:pPr>
            <w:r>
              <w:rPr>
                <w:sz w:val="24"/>
                <w:szCs w:val="24"/>
              </w:rPr>
              <w:t>3. 58 同城倒卖学生简历案</w:t>
            </w:r>
          </w:p>
        </w:tc>
        <w:tc>
          <w:tcPr>
            <w:tcW w:w="4762" w:type="dxa"/>
            <w:vAlign w:val="center"/>
          </w:tcPr>
          <w:p w14:paraId="6D67AE2C">
            <w:pPr>
              <w:spacing w:after="0" w:line="252" w:lineRule="auto"/>
              <w:rPr>
                <w:rFonts w:hint="eastAsia"/>
                <w:sz w:val="24"/>
                <w:szCs w:val="24"/>
                <w:lang w:eastAsia="zh-CN"/>
              </w:rPr>
            </w:pPr>
            <w:r>
              <w:rPr>
                <w:sz w:val="24"/>
                <w:szCs w:val="24"/>
                <w:lang w:eastAsia="zh-CN"/>
              </w:rPr>
              <w:t>58 集团被指假借招聘收集学生简历，再向培训机构等出售，用于课程营销转化；部分岗位为虚设或已停止招聘，单份简历价格从数十元至上千元不等，一年多牟利超 200 万元。</w:t>
            </w:r>
          </w:p>
        </w:tc>
        <w:tc>
          <w:tcPr>
            <w:tcW w:w="3969" w:type="dxa"/>
            <w:vAlign w:val="center"/>
          </w:tcPr>
          <w:p w14:paraId="3D91C964">
            <w:pPr>
              <w:spacing w:after="0" w:line="252" w:lineRule="auto"/>
              <w:rPr>
                <w:rFonts w:hint="eastAsia"/>
                <w:sz w:val="24"/>
                <w:szCs w:val="24"/>
                <w:lang w:eastAsia="zh-CN"/>
              </w:rPr>
            </w:pPr>
            <w:r>
              <w:rPr>
                <w:sz w:val="24"/>
                <w:szCs w:val="24"/>
                <w:lang w:eastAsia="zh-CN"/>
              </w:rPr>
              <w:t>《个人信息保护法》第5条、第6条、第10条、第13条、第17条、第23条、第58条、第64条；《消费者权益保护法》第29条。</w:t>
            </w:r>
          </w:p>
        </w:tc>
        <w:tc>
          <w:tcPr>
            <w:tcW w:w="4536" w:type="dxa"/>
            <w:vAlign w:val="center"/>
          </w:tcPr>
          <w:p w14:paraId="1CE7E177">
            <w:pPr>
              <w:spacing w:after="0" w:line="252" w:lineRule="auto"/>
              <w:rPr>
                <w:rFonts w:hint="eastAsia"/>
                <w:sz w:val="24"/>
                <w:szCs w:val="24"/>
                <w:lang w:eastAsia="zh-CN"/>
              </w:rPr>
            </w:pPr>
            <w:r>
              <w:rPr>
                <w:sz w:val="24"/>
                <w:szCs w:val="24"/>
                <w:lang w:eastAsia="zh-CN"/>
              </w:rPr>
              <w:t>以招聘名义收集、以营销转化为真实目的，属于目的欺骗和非法提供个人信息。平台型企业应承担更高的治理义务，尤其要识别虚假岗位、简历售卖、画像筛选打包等行为。</w:t>
            </w:r>
          </w:p>
        </w:tc>
      </w:tr>
      <w:tr w14:paraId="64B06C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3FDE1F74">
            <w:pPr>
              <w:spacing w:after="0" w:line="252" w:lineRule="auto"/>
              <w:rPr>
                <w:rFonts w:hint="eastAsia"/>
                <w:sz w:val="24"/>
                <w:szCs w:val="24"/>
                <w:lang w:eastAsia="zh-CN"/>
              </w:rPr>
            </w:pPr>
            <w:r>
              <w:rPr>
                <w:sz w:val="24"/>
                <w:szCs w:val="24"/>
                <w:lang w:eastAsia="zh-CN"/>
              </w:rPr>
              <w:t>4. 办公区域隐蔽摄像头案</w:t>
            </w:r>
          </w:p>
        </w:tc>
        <w:tc>
          <w:tcPr>
            <w:tcW w:w="4762" w:type="dxa"/>
            <w:shd w:val="clear" w:color="auto" w:fill="F7F7F7"/>
            <w:vAlign w:val="center"/>
          </w:tcPr>
          <w:p w14:paraId="47696C79">
            <w:pPr>
              <w:spacing w:after="0" w:line="252" w:lineRule="auto"/>
              <w:rPr>
                <w:rFonts w:hint="eastAsia"/>
                <w:sz w:val="24"/>
                <w:szCs w:val="24"/>
                <w:lang w:eastAsia="zh-CN"/>
              </w:rPr>
            </w:pPr>
            <w:r>
              <w:rPr>
                <w:sz w:val="24"/>
                <w:szCs w:val="24"/>
                <w:lang w:eastAsia="zh-CN"/>
              </w:rPr>
              <w:t>某建筑装饰公司在员工固定办公、相对封闭的办公室内安装烟感伪装针孔摄像头，摄像头正对工位，未提前明示也未取得员工同意，员工起诉主张隐私权受侵害。</w:t>
            </w:r>
          </w:p>
        </w:tc>
        <w:tc>
          <w:tcPr>
            <w:tcW w:w="3969" w:type="dxa"/>
            <w:shd w:val="clear" w:color="auto" w:fill="F7F7F7"/>
            <w:vAlign w:val="center"/>
          </w:tcPr>
          <w:p w14:paraId="327334CD">
            <w:pPr>
              <w:spacing w:after="0" w:line="252" w:lineRule="auto"/>
              <w:rPr>
                <w:rFonts w:hint="eastAsia"/>
                <w:sz w:val="24"/>
                <w:szCs w:val="24"/>
                <w:lang w:eastAsia="zh-CN"/>
              </w:rPr>
            </w:pPr>
            <w:r>
              <w:rPr>
                <w:sz w:val="24"/>
                <w:szCs w:val="24"/>
                <w:lang w:eastAsia="zh-CN"/>
              </w:rPr>
              <w:t>《民法典》第1032条、第1034条、第1035条、第1038条；《个人信息保护法》第5条、第6条、第13条、第17条、第51条。</w:t>
            </w:r>
          </w:p>
        </w:tc>
        <w:tc>
          <w:tcPr>
            <w:tcW w:w="4536" w:type="dxa"/>
            <w:shd w:val="clear" w:color="auto" w:fill="F7F7F7"/>
            <w:vAlign w:val="center"/>
          </w:tcPr>
          <w:p w14:paraId="08BD63F5">
            <w:pPr>
              <w:spacing w:after="0" w:line="252" w:lineRule="auto"/>
              <w:rPr>
                <w:rFonts w:hint="eastAsia"/>
                <w:sz w:val="24"/>
                <w:szCs w:val="24"/>
                <w:lang w:eastAsia="zh-CN"/>
              </w:rPr>
            </w:pPr>
            <w:r>
              <w:rPr>
                <w:sz w:val="24"/>
                <w:szCs w:val="24"/>
                <w:lang w:eastAsia="zh-CN"/>
              </w:rPr>
              <w:t>劳动管理权不等于全天候监视权。工作场所监控应公开、必要、适度，范围一般限于公共区域和安全需要，不得以隐蔽方式持续、定向拍摄员工。</w:t>
            </w:r>
          </w:p>
        </w:tc>
      </w:tr>
      <w:tr w14:paraId="6328B03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F3C2A79">
            <w:pPr>
              <w:spacing w:after="0" w:line="252" w:lineRule="auto"/>
              <w:rPr>
                <w:rFonts w:hint="eastAsia"/>
                <w:sz w:val="24"/>
                <w:szCs w:val="24"/>
                <w:lang w:eastAsia="zh-CN"/>
              </w:rPr>
            </w:pPr>
            <w:r>
              <w:rPr>
                <w:sz w:val="24"/>
                <w:szCs w:val="24"/>
                <w:lang w:eastAsia="zh-CN"/>
              </w:rPr>
              <w:t>5. 病假管理中过度索要员工病历资料案</w:t>
            </w:r>
          </w:p>
        </w:tc>
        <w:tc>
          <w:tcPr>
            <w:tcW w:w="4762" w:type="dxa"/>
            <w:vAlign w:val="center"/>
          </w:tcPr>
          <w:p w14:paraId="2236497D">
            <w:pPr>
              <w:spacing w:after="0" w:line="252" w:lineRule="auto"/>
              <w:rPr>
                <w:rFonts w:hint="eastAsia"/>
                <w:sz w:val="24"/>
                <w:szCs w:val="24"/>
                <w:lang w:eastAsia="zh-CN"/>
              </w:rPr>
            </w:pPr>
            <w:r>
              <w:rPr>
                <w:sz w:val="24"/>
                <w:szCs w:val="24"/>
                <w:lang w:eastAsia="zh-CN"/>
              </w:rPr>
              <w:t>员工因抑郁状态休病假并提交诊断证明，公司仍要求提交完整病历、心理治疗凭证及治疗材料，否则视为旷工，并据此解除劳动合同。法院认为完整病历和心理治疗记录属于隐私，公司要求过度。</w:t>
            </w:r>
          </w:p>
        </w:tc>
        <w:tc>
          <w:tcPr>
            <w:tcW w:w="3969" w:type="dxa"/>
            <w:vAlign w:val="center"/>
          </w:tcPr>
          <w:p w14:paraId="17ADF89C">
            <w:pPr>
              <w:spacing w:after="0" w:line="252" w:lineRule="auto"/>
              <w:rPr>
                <w:rFonts w:hint="eastAsia"/>
                <w:sz w:val="24"/>
                <w:szCs w:val="24"/>
                <w:lang w:eastAsia="zh-CN"/>
              </w:rPr>
            </w:pPr>
            <w:r>
              <w:rPr>
                <w:sz w:val="24"/>
                <w:szCs w:val="24"/>
                <w:lang w:eastAsia="zh-CN"/>
              </w:rPr>
              <w:t>《个人信息保护法》第6条、第28条、第29条、第30条、第51条；《民法典》第1032条、第1034条；《劳动合同法》关于解除劳动合同的规则。</w:t>
            </w:r>
          </w:p>
        </w:tc>
        <w:tc>
          <w:tcPr>
            <w:tcW w:w="4536" w:type="dxa"/>
            <w:vAlign w:val="center"/>
          </w:tcPr>
          <w:p w14:paraId="082734FE">
            <w:pPr>
              <w:spacing w:after="0" w:line="252" w:lineRule="auto"/>
              <w:rPr>
                <w:rFonts w:hint="eastAsia"/>
                <w:sz w:val="24"/>
                <w:szCs w:val="24"/>
                <w:lang w:eastAsia="zh-CN"/>
              </w:rPr>
            </w:pPr>
            <w:r>
              <w:rPr>
                <w:sz w:val="24"/>
                <w:szCs w:val="24"/>
                <w:lang w:eastAsia="zh-CN"/>
              </w:rPr>
              <w:t>健康医疗信息属于敏感个人信息。企业可核验病假事实，但材料范围应限于诊断证明、病假建议等必要信息，不宜索要完整病历、心理治疗记录等高敏感内容。</w:t>
            </w:r>
          </w:p>
        </w:tc>
      </w:tr>
      <w:tr w14:paraId="3ED3CA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2AFD13CF">
            <w:pPr>
              <w:spacing w:after="0" w:line="252" w:lineRule="auto"/>
              <w:rPr>
                <w:rFonts w:hint="eastAsia"/>
                <w:sz w:val="24"/>
                <w:szCs w:val="24"/>
                <w:lang w:eastAsia="zh-CN"/>
              </w:rPr>
            </w:pPr>
            <w:r>
              <w:rPr>
                <w:sz w:val="24"/>
                <w:szCs w:val="24"/>
                <w:lang w:eastAsia="zh-CN"/>
              </w:rPr>
              <w:t>6. “不清洁”离职证明影响再就业案</w:t>
            </w:r>
          </w:p>
        </w:tc>
        <w:tc>
          <w:tcPr>
            <w:tcW w:w="4762" w:type="dxa"/>
            <w:shd w:val="clear" w:color="auto" w:fill="F7F7F7"/>
            <w:vAlign w:val="center"/>
          </w:tcPr>
          <w:p w14:paraId="49EDC045">
            <w:pPr>
              <w:spacing w:after="0" w:line="252" w:lineRule="auto"/>
              <w:rPr>
                <w:rFonts w:hint="eastAsia"/>
                <w:sz w:val="24"/>
                <w:szCs w:val="24"/>
                <w:lang w:eastAsia="zh-CN"/>
              </w:rPr>
            </w:pPr>
            <w:r>
              <w:rPr>
                <w:sz w:val="24"/>
                <w:szCs w:val="24"/>
                <w:lang w:eastAsia="zh-CN"/>
              </w:rPr>
              <w:t>用人单位在离职证明中加入带有负面评价或超出劳动合同终止事实的信息，导致劳动者再就业受影响。材料将其作为离职阶段个人信息处理风险案例。</w:t>
            </w:r>
          </w:p>
        </w:tc>
        <w:tc>
          <w:tcPr>
            <w:tcW w:w="3969" w:type="dxa"/>
            <w:shd w:val="clear" w:color="auto" w:fill="F7F7F7"/>
            <w:vAlign w:val="center"/>
          </w:tcPr>
          <w:p w14:paraId="40F5E943">
            <w:pPr>
              <w:spacing w:after="0" w:line="252" w:lineRule="auto"/>
              <w:rPr>
                <w:rFonts w:hint="eastAsia"/>
                <w:sz w:val="24"/>
                <w:szCs w:val="24"/>
                <w:lang w:eastAsia="zh-CN"/>
              </w:rPr>
            </w:pPr>
            <w:r>
              <w:rPr>
                <w:sz w:val="24"/>
                <w:szCs w:val="24"/>
                <w:lang w:eastAsia="zh-CN"/>
              </w:rPr>
              <w:t>《劳动合同法》第50条；《个人信息保护法》第5条、第6条、第17条；《民法典》名誉权、个人信息保护相关规则。</w:t>
            </w:r>
          </w:p>
        </w:tc>
        <w:tc>
          <w:tcPr>
            <w:tcW w:w="4536" w:type="dxa"/>
            <w:shd w:val="clear" w:color="auto" w:fill="F7F7F7"/>
            <w:vAlign w:val="center"/>
          </w:tcPr>
          <w:p w14:paraId="35029325">
            <w:pPr>
              <w:spacing w:after="0" w:line="252" w:lineRule="auto"/>
              <w:rPr>
                <w:rFonts w:hint="eastAsia"/>
                <w:sz w:val="24"/>
                <w:szCs w:val="24"/>
                <w:lang w:eastAsia="zh-CN"/>
              </w:rPr>
            </w:pPr>
            <w:r>
              <w:rPr>
                <w:sz w:val="24"/>
                <w:szCs w:val="24"/>
                <w:lang w:eastAsia="zh-CN"/>
              </w:rPr>
              <w:t>离职证明应以劳动合同期限、岗位、离职时间等必要事实为限，不宜加入人格评价、纪律处分、争议性原因等可能影响劳动者再就业的信息。</w:t>
            </w:r>
          </w:p>
        </w:tc>
      </w:tr>
      <w:tr w14:paraId="4735A2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E003B73">
            <w:pPr>
              <w:spacing w:after="0" w:line="252" w:lineRule="auto"/>
              <w:rPr>
                <w:rFonts w:hint="eastAsia"/>
                <w:sz w:val="24"/>
                <w:szCs w:val="24"/>
                <w:lang w:eastAsia="zh-CN"/>
              </w:rPr>
            </w:pPr>
            <w:r>
              <w:rPr>
                <w:sz w:val="24"/>
                <w:szCs w:val="24"/>
                <w:lang w:eastAsia="zh-CN"/>
              </w:rPr>
              <w:t>7. 离职后继续使用员工手机号案</w:t>
            </w:r>
          </w:p>
        </w:tc>
        <w:tc>
          <w:tcPr>
            <w:tcW w:w="4762" w:type="dxa"/>
            <w:vAlign w:val="center"/>
          </w:tcPr>
          <w:p w14:paraId="49F58477">
            <w:pPr>
              <w:spacing w:after="0" w:line="252" w:lineRule="auto"/>
              <w:rPr>
                <w:rFonts w:hint="eastAsia"/>
                <w:sz w:val="24"/>
                <w:szCs w:val="24"/>
                <w:lang w:eastAsia="zh-CN"/>
              </w:rPr>
            </w:pPr>
            <w:r>
              <w:rPr>
                <w:sz w:val="24"/>
                <w:szCs w:val="24"/>
                <w:lang w:eastAsia="zh-CN"/>
              </w:rPr>
              <w:t>员工离职后，企业仍继续使用其手机号、账号或个人联系信息开展业务联络、客户维护或系统登录，导致个人信息超出原劳动关系目的被继续处理。</w:t>
            </w:r>
          </w:p>
        </w:tc>
        <w:tc>
          <w:tcPr>
            <w:tcW w:w="3969" w:type="dxa"/>
            <w:vAlign w:val="center"/>
          </w:tcPr>
          <w:p w14:paraId="6AE7B354">
            <w:pPr>
              <w:spacing w:after="0" w:line="252" w:lineRule="auto"/>
              <w:rPr>
                <w:rFonts w:hint="eastAsia"/>
                <w:sz w:val="24"/>
                <w:szCs w:val="24"/>
                <w:lang w:eastAsia="zh-CN"/>
              </w:rPr>
            </w:pPr>
            <w:r>
              <w:rPr>
                <w:sz w:val="24"/>
                <w:szCs w:val="24"/>
                <w:lang w:eastAsia="zh-CN"/>
              </w:rPr>
              <w:t>《个人信息保护法》第6条、第47条、第51条；《民法典》第1034条、第1035条。</w:t>
            </w:r>
          </w:p>
        </w:tc>
        <w:tc>
          <w:tcPr>
            <w:tcW w:w="4536" w:type="dxa"/>
            <w:vAlign w:val="center"/>
          </w:tcPr>
          <w:p w14:paraId="55D77F25">
            <w:pPr>
              <w:spacing w:after="0" w:line="252" w:lineRule="auto"/>
              <w:rPr>
                <w:rFonts w:hint="eastAsia"/>
                <w:sz w:val="24"/>
                <w:szCs w:val="24"/>
                <w:lang w:eastAsia="zh-CN"/>
              </w:rPr>
            </w:pPr>
            <w:r>
              <w:rPr>
                <w:sz w:val="24"/>
                <w:szCs w:val="24"/>
                <w:lang w:eastAsia="zh-CN"/>
              </w:rPr>
              <w:t>离职并不意味着企业可无期限使用员工个人信息。劳动关系结束后，应及时解绑手机号、注销或转移业务账号，并删除与持续履职无关的信息。</w:t>
            </w:r>
          </w:p>
        </w:tc>
      </w:tr>
      <w:tr w14:paraId="5C395C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6FA256D2">
            <w:pPr>
              <w:spacing w:after="0" w:line="252" w:lineRule="auto"/>
              <w:rPr>
                <w:rFonts w:hint="eastAsia"/>
                <w:sz w:val="24"/>
                <w:szCs w:val="24"/>
                <w:lang w:eastAsia="zh-CN"/>
              </w:rPr>
            </w:pPr>
            <w:r>
              <w:rPr>
                <w:sz w:val="24"/>
                <w:szCs w:val="24"/>
                <w:lang w:eastAsia="zh-CN"/>
              </w:rPr>
              <w:t>8. 企业将离职员工列入“黑名单”案</w:t>
            </w:r>
          </w:p>
        </w:tc>
        <w:tc>
          <w:tcPr>
            <w:tcW w:w="4762" w:type="dxa"/>
            <w:shd w:val="clear" w:color="auto" w:fill="F7F7F7"/>
            <w:vAlign w:val="center"/>
          </w:tcPr>
          <w:p w14:paraId="41E9A75B">
            <w:pPr>
              <w:spacing w:after="0" w:line="252" w:lineRule="auto"/>
              <w:rPr>
                <w:rFonts w:hint="eastAsia"/>
                <w:sz w:val="24"/>
                <w:szCs w:val="24"/>
                <w:lang w:eastAsia="zh-CN"/>
              </w:rPr>
            </w:pPr>
            <w:r>
              <w:rPr>
                <w:sz w:val="24"/>
                <w:szCs w:val="24"/>
                <w:lang w:eastAsia="zh-CN"/>
              </w:rPr>
              <w:t>企业将离职员工纳入内部或行业“黑名单”，用于限制再次录用、背调或对外评价，可能影响劳动者就业机会和人格评价。</w:t>
            </w:r>
          </w:p>
        </w:tc>
        <w:tc>
          <w:tcPr>
            <w:tcW w:w="3969" w:type="dxa"/>
            <w:shd w:val="clear" w:color="auto" w:fill="F7F7F7"/>
            <w:vAlign w:val="center"/>
          </w:tcPr>
          <w:p w14:paraId="3BC62BA5">
            <w:pPr>
              <w:spacing w:after="0" w:line="252" w:lineRule="auto"/>
              <w:rPr>
                <w:rFonts w:hint="eastAsia"/>
                <w:sz w:val="24"/>
                <w:szCs w:val="24"/>
                <w:lang w:eastAsia="zh-CN"/>
              </w:rPr>
            </w:pPr>
            <w:r>
              <w:rPr>
                <w:sz w:val="24"/>
                <w:szCs w:val="24"/>
                <w:lang w:eastAsia="zh-CN"/>
              </w:rPr>
              <w:t>《个人信息保护法》第5条、第6条、第13条、第24条、第47条、第51条；《民法典》名誉权、个人信息权益规则；《就业促进法》公平就业原则。</w:t>
            </w:r>
          </w:p>
        </w:tc>
        <w:tc>
          <w:tcPr>
            <w:tcW w:w="4536" w:type="dxa"/>
            <w:shd w:val="clear" w:color="auto" w:fill="F7F7F7"/>
            <w:vAlign w:val="center"/>
          </w:tcPr>
          <w:p w14:paraId="3C852DC3">
            <w:pPr>
              <w:spacing w:after="0" w:line="252" w:lineRule="auto"/>
              <w:rPr>
                <w:rFonts w:hint="eastAsia"/>
                <w:sz w:val="24"/>
                <w:szCs w:val="24"/>
                <w:lang w:eastAsia="zh-CN"/>
              </w:rPr>
            </w:pPr>
            <w:r>
              <w:rPr>
                <w:sz w:val="24"/>
                <w:szCs w:val="24"/>
                <w:lang w:eastAsia="zh-CN"/>
              </w:rPr>
              <w:t>“黑名单”具有自动化评价和信用惩戒属性，应有明确合法依据、事实基础、告知和异议机制。企业不得以内部管理名义形成事实性就业限制。</w:t>
            </w:r>
          </w:p>
        </w:tc>
      </w:tr>
      <w:tr w14:paraId="599133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FB15D3C">
            <w:pPr>
              <w:spacing w:after="0" w:line="252" w:lineRule="auto"/>
              <w:rPr>
                <w:rFonts w:hint="eastAsia"/>
                <w:sz w:val="24"/>
                <w:szCs w:val="24"/>
                <w:lang w:eastAsia="zh-CN"/>
              </w:rPr>
            </w:pPr>
            <w:r>
              <w:rPr>
                <w:sz w:val="24"/>
                <w:szCs w:val="24"/>
                <w:lang w:eastAsia="zh-CN"/>
              </w:rPr>
              <w:t>9. 某跨国品牌个人信息违规出境案</w:t>
            </w:r>
          </w:p>
        </w:tc>
        <w:tc>
          <w:tcPr>
            <w:tcW w:w="4762" w:type="dxa"/>
            <w:vAlign w:val="center"/>
          </w:tcPr>
          <w:p w14:paraId="72527BEB">
            <w:pPr>
              <w:spacing w:after="0" w:line="252" w:lineRule="auto"/>
              <w:rPr>
                <w:rFonts w:hint="eastAsia"/>
                <w:sz w:val="24"/>
                <w:szCs w:val="24"/>
                <w:lang w:eastAsia="zh-CN"/>
              </w:rPr>
            </w:pPr>
            <w:r>
              <w:rPr>
                <w:sz w:val="24"/>
                <w:szCs w:val="24"/>
                <w:lang w:eastAsia="zh-CN"/>
              </w:rPr>
              <w:t>公安机关公布的行政执法案例显示，某跨国品牌中国公司未通过数据出境安全评估、未订立标准合同、未通过认证，即向境外总部传输境内用户个人信息；同时未充分告知、未取得单独同意，也未采取加密、去标识化措施。</w:t>
            </w:r>
          </w:p>
        </w:tc>
        <w:tc>
          <w:tcPr>
            <w:tcW w:w="3969" w:type="dxa"/>
            <w:vAlign w:val="center"/>
          </w:tcPr>
          <w:p w14:paraId="6168DE41">
            <w:pPr>
              <w:spacing w:after="0" w:line="252" w:lineRule="auto"/>
              <w:rPr>
                <w:rFonts w:hint="eastAsia"/>
                <w:sz w:val="24"/>
                <w:szCs w:val="24"/>
                <w:lang w:eastAsia="zh-CN"/>
              </w:rPr>
            </w:pPr>
            <w:r>
              <w:rPr>
                <w:sz w:val="24"/>
                <w:szCs w:val="24"/>
                <w:lang w:eastAsia="zh-CN"/>
              </w:rPr>
              <w:t>《个人信息保护法》第13条、第17条、第29条、第38条至第40条、第51条、第55条；《数据出境安全评估办法》；个人信息出境标准合同相关规则。</w:t>
            </w:r>
          </w:p>
        </w:tc>
        <w:tc>
          <w:tcPr>
            <w:tcW w:w="4536" w:type="dxa"/>
            <w:vAlign w:val="center"/>
          </w:tcPr>
          <w:p w14:paraId="0F23556F">
            <w:pPr>
              <w:spacing w:after="0" w:line="252" w:lineRule="auto"/>
              <w:rPr>
                <w:rFonts w:hint="eastAsia"/>
                <w:sz w:val="24"/>
                <w:szCs w:val="24"/>
                <w:lang w:eastAsia="zh-CN"/>
              </w:rPr>
            </w:pPr>
            <w:r>
              <w:rPr>
                <w:sz w:val="24"/>
                <w:szCs w:val="24"/>
                <w:lang w:eastAsia="zh-CN"/>
              </w:rPr>
              <w:t>跨国企业使用全球 HR 系统时，应盘点员工薪酬、绩效、健康、金融账户等数据，判断是否出境、是否触发安全评估或标准合同，并进行单独告知和影响评估。</w:t>
            </w:r>
          </w:p>
        </w:tc>
      </w:tr>
      <w:tr w14:paraId="7F6679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326ECDF7">
            <w:pPr>
              <w:spacing w:after="0" w:line="252" w:lineRule="auto"/>
              <w:rPr>
                <w:rFonts w:hint="eastAsia"/>
                <w:sz w:val="24"/>
                <w:szCs w:val="24"/>
              </w:rPr>
            </w:pPr>
            <w:r>
              <w:rPr>
                <w:sz w:val="24"/>
                <w:szCs w:val="24"/>
              </w:rPr>
              <w:t>10. Bărbulescu v. Romania 员工电子通信监控案</w:t>
            </w:r>
          </w:p>
        </w:tc>
        <w:tc>
          <w:tcPr>
            <w:tcW w:w="4762" w:type="dxa"/>
            <w:shd w:val="clear" w:color="auto" w:fill="F7F7F7"/>
            <w:vAlign w:val="center"/>
          </w:tcPr>
          <w:p w14:paraId="5FE04FC0">
            <w:pPr>
              <w:spacing w:after="0" w:line="252" w:lineRule="auto"/>
              <w:rPr>
                <w:rFonts w:hint="eastAsia"/>
                <w:sz w:val="24"/>
                <w:szCs w:val="24"/>
                <w:lang w:eastAsia="zh-CN"/>
              </w:rPr>
            </w:pPr>
            <w:r>
              <w:rPr>
                <w:sz w:val="24"/>
                <w:szCs w:val="24"/>
                <w:lang w:eastAsia="zh-CN"/>
              </w:rPr>
              <w:t>欧洲人权法院审查雇主监控员工工作即时通讯账号的行为，重点考察雇主是否事先告知、监控范围是否必要、员工是否仍有合理隐私期待。</w:t>
            </w:r>
          </w:p>
        </w:tc>
        <w:tc>
          <w:tcPr>
            <w:tcW w:w="3969" w:type="dxa"/>
            <w:shd w:val="clear" w:color="auto" w:fill="F7F7F7"/>
            <w:vAlign w:val="center"/>
          </w:tcPr>
          <w:p w14:paraId="3B605C7B">
            <w:pPr>
              <w:spacing w:after="0" w:line="252" w:lineRule="auto"/>
              <w:rPr>
                <w:rFonts w:hint="eastAsia"/>
                <w:sz w:val="24"/>
                <w:szCs w:val="24"/>
                <w:lang w:eastAsia="zh-CN"/>
              </w:rPr>
            </w:pPr>
            <w:r>
              <w:rPr>
                <w:sz w:val="24"/>
                <w:szCs w:val="24"/>
                <w:lang w:eastAsia="zh-CN"/>
              </w:rPr>
              <w:t>《欧洲人权公约》第8条；对应我国可参照《民法典》隐私权规则、《个人信息保护法》第5条、第6条、第17条、第51条。</w:t>
            </w:r>
          </w:p>
        </w:tc>
        <w:tc>
          <w:tcPr>
            <w:tcW w:w="4536" w:type="dxa"/>
            <w:shd w:val="clear" w:color="auto" w:fill="F7F7F7"/>
            <w:vAlign w:val="center"/>
          </w:tcPr>
          <w:p w14:paraId="7AC8AB74">
            <w:pPr>
              <w:spacing w:after="0" w:line="252" w:lineRule="auto"/>
              <w:rPr>
                <w:rFonts w:hint="eastAsia"/>
                <w:sz w:val="24"/>
                <w:szCs w:val="24"/>
                <w:lang w:eastAsia="zh-CN"/>
              </w:rPr>
            </w:pPr>
            <w:r>
              <w:rPr>
                <w:sz w:val="24"/>
                <w:szCs w:val="24"/>
                <w:lang w:eastAsia="zh-CN"/>
              </w:rPr>
              <w:t>员工使用工作系统不当然放弃隐私。企业监控电子通信前应明确制度、告知范围，尽量采用低侵害方式，并保留必要性论证。</w:t>
            </w:r>
          </w:p>
        </w:tc>
      </w:tr>
      <w:tr w14:paraId="2AD5DE3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9632B64">
            <w:pPr>
              <w:spacing w:after="0" w:line="252" w:lineRule="auto"/>
              <w:rPr>
                <w:rFonts w:hint="eastAsia"/>
                <w:sz w:val="24"/>
                <w:szCs w:val="24"/>
              </w:rPr>
            </w:pPr>
            <w:r>
              <w:rPr>
                <w:sz w:val="24"/>
                <w:szCs w:val="24"/>
              </w:rPr>
              <w:t>11. López Ribalda and Others v. Spain 工作场所隐蔽视频监控案</w:t>
            </w:r>
          </w:p>
        </w:tc>
        <w:tc>
          <w:tcPr>
            <w:tcW w:w="4762" w:type="dxa"/>
            <w:vAlign w:val="center"/>
          </w:tcPr>
          <w:p w14:paraId="0C8469A2">
            <w:pPr>
              <w:spacing w:after="0" w:line="252" w:lineRule="auto"/>
              <w:rPr>
                <w:rFonts w:hint="eastAsia"/>
                <w:sz w:val="24"/>
                <w:szCs w:val="24"/>
                <w:lang w:eastAsia="zh-CN"/>
              </w:rPr>
            </w:pPr>
            <w:r>
              <w:rPr>
                <w:sz w:val="24"/>
                <w:szCs w:val="24"/>
                <w:lang w:eastAsia="zh-CN"/>
              </w:rPr>
              <w:t>超市为调查盗窃问题安装隐蔽摄像头，欧洲人权法院围绕是否有重大怀疑、监控范围和持续时间是否受限、员工是否获合理保障进行审查。</w:t>
            </w:r>
          </w:p>
        </w:tc>
        <w:tc>
          <w:tcPr>
            <w:tcW w:w="3969" w:type="dxa"/>
            <w:vAlign w:val="center"/>
          </w:tcPr>
          <w:p w14:paraId="4ED51835">
            <w:pPr>
              <w:spacing w:after="0" w:line="252" w:lineRule="auto"/>
              <w:rPr>
                <w:rFonts w:hint="eastAsia"/>
                <w:sz w:val="24"/>
                <w:szCs w:val="24"/>
                <w:lang w:eastAsia="zh-CN"/>
              </w:rPr>
            </w:pPr>
            <w:r>
              <w:rPr>
                <w:sz w:val="24"/>
                <w:szCs w:val="24"/>
                <w:lang w:eastAsia="zh-CN"/>
              </w:rPr>
              <w:t>《欧洲人权公约》第8条；对应我国可参照《民法典》隐私权规则、《个人信息保护法》第5条、第6条、第17条、第51条。</w:t>
            </w:r>
          </w:p>
        </w:tc>
        <w:tc>
          <w:tcPr>
            <w:tcW w:w="4536" w:type="dxa"/>
            <w:vAlign w:val="center"/>
          </w:tcPr>
          <w:p w14:paraId="600E9779">
            <w:pPr>
              <w:spacing w:after="0" w:line="252" w:lineRule="auto"/>
              <w:rPr>
                <w:rFonts w:hint="eastAsia"/>
                <w:sz w:val="24"/>
                <w:szCs w:val="24"/>
                <w:lang w:eastAsia="zh-CN"/>
              </w:rPr>
            </w:pPr>
            <w:r>
              <w:rPr>
                <w:sz w:val="24"/>
                <w:szCs w:val="24"/>
                <w:lang w:eastAsia="zh-CN"/>
              </w:rPr>
              <w:t>隐蔽监控只有在存在具体重大风险、公开方式难以实现目的且范围严格受限时才可能被认可。日常管理不宜使用隐蔽摄像替代公开制度。</w:t>
            </w:r>
          </w:p>
        </w:tc>
      </w:tr>
      <w:tr w14:paraId="59457F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69BAB4FA">
            <w:pPr>
              <w:spacing w:after="0" w:line="252" w:lineRule="auto"/>
              <w:rPr>
                <w:rFonts w:hint="eastAsia"/>
                <w:sz w:val="24"/>
                <w:szCs w:val="24"/>
                <w:lang w:eastAsia="zh-CN"/>
              </w:rPr>
            </w:pPr>
            <w:r>
              <w:rPr>
                <w:sz w:val="24"/>
                <w:szCs w:val="24"/>
                <w:lang w:eastAsia="zh-CN"/>
              </w:rPr>
              <w:t>12. H&amp;M 德国服务中心过度记录员工私人生活被罚案</w:t>
            </w:r>
          </w:p>
        </w:tc>
        <w:tc>
          <w:tcPr>
            <w:tcW w:w="4762" w:type="dxa"/>
            <w:shd w:val="clear" w:color="auto" w:fill="F7F7F7"/>
            <w:vAlign w:val="center"/>
          </w:tcPr>
          <w:p w14:paraId="3ABDC239">
            <w:pPr>
              <w:spacing w:after="0" w:line="252" w:lineRule="auto"/>
              <w:rPr>
                <w:rFonts w:hint="eastAsia"/>
                <w:sz w:val="24"/>
                <w:szCs w:val="24"/>
                <w:lang w:eastAsia="zh-CN"/>
              </w:rPr>
            </w:pPr>
            <w:r>
              <w:rPr>
                <w:sz w:val="24"/>
                <w:szCs w:val="24"/>
                <w:lang w:eastAsia="zh-CN"/>
              </w:rPr>
              <w:t>H&amp;M 德国服务中心被曝长期记录员工病假、家庭、宗教等私人生活细节并用于管理评价，监管机构对其作出高额罚款。</w:t>
            </w:r>
          </w:p>
        </w:tc>
        <w:tc>
          <w:tcPr>
            <w:tcW w:w="3969" w:type="dxa"/>
            <w:shd w:val="clear" w:color="auto" w:fill="F7F7F7"/>
            <w:vAlign w:val="center"/>
          </w:tcPr>
          <w:p w14:paraId="1CD0D1A9">
            <w:pPr>
              <w:spacing w:after="0" w:line="252" w:lineRule="auto"/>
              <w:rPr>
                <w:rFonts w:hint="eastAsia"/>
                <w:sz w:val="24"/>
                <w:szCs w:val="24"/>
                <w:lang w:eastAsia="zh-CN"/>
              </w:rPr>
            </w:pPr>
            <w:r>
              <w:rPr>
                <w:sz w:val="24"/>
                <w:szCs w:val="24"/>
                <w:lang w:eastAsia="zh-CN"/>
              </w:rPr>
              <w:t>欧盟《通用数据保护条例》（GDPR）第5条、第6条、第9条、第32条、第83条；对应我国《个人信息保护法》第5条、第6条、第28条、第29条、第51条。</w:t>
            </w:r>
          </w:p>
        </w:tc>
        <w:tc>
          <w:tcPr>
            <w:tcW w:w="4536" w:type="dxa"/>
            <w:shd w:val="clear" w:color="auto" w:fill="F7F7F7"/>
            <w:vAlign w:val="center"/>
          </w:tcPr>
          <w:p w14:paraId="120808C7">
            <w:pPr>
              <w:spacing w:after="0" w:line="252" w:lineRule="auto"/>
              <w:rPr>
                <w:rFonts w:hint="eastAsia"/>
                <w:sz w:val="24"/>
                <w:szCs w:val="24"/>
                <w:lang w:eastAsia="zh-CN"/>
              </w:rPr>
            </w:pPr>
            <w:r>
              <w:rPr>
                <w:sz w:val="24"/>
                <w:szCs w:val="24"/>
                <w:lang w:eastAsia="zh-CN"/>
              </w:rPr>
              <w:t>企业人力资源管理不能扩张到员工私人生活画像。涉及健康、宗教、家庭等敏感信息时，必须有严格必要性和特别保护措施。</w:t>
            </w:r>
          </w:p>
        </w:tc>
      </w:tr>
    </w:tbl>
    <w:p w14:paraId="5A3D1175">
      <w:pPr>
        <w:rPr>
          <w:rFonts w:hint="eastAsia"/>
          <w:sz w:val="24"/>
          <w:szCs w:val="24"/>
          <w:lang w:eastAsia="zh-CN"/>
        </w:rPr>
      </w:pPr>
      <w:r>
        <w:rPr>
          <w:sz w:val="24"/>
          <w:szCs w:val="24"/>
          <w:lang w:eastAsia="zh-CN"/>
        </w:rPr>
        <w:br w:type="page"/>
      </w:r>
    </w:p>
    <w:p w14:paraId="73D39F86">
      <w:pPr>
        <w:pStyle w:val="165"/>
        <w:spacing w:after="80"/>
        <w:rPr>
          <w:rFonts w:hint="eastAsia"/>
          <w:color w:val="auto"/>
          <w:sz w:val="24"/>
          <w:szCs w:val="24"/>
          <w:lang w:eastAsia="zh-CN"/>
        </w:rPr>
      </w:pPr>
      <w:r>
        <w:rPr>
          <w:rFonts w:hint="eastAsia"/>
          <w:b w:val="0"/>
          <w:color w:val="auto"/>
          <w:sz w:val="24"/>
          <w:szCs w:val="24"/>
          <w:lang w:eastAsia="zh-CN"/>
        </w:rPr>
        <w:t>2</w:t>
      </w:r>
      <w:r>
        <w:rPr>
          <w:b w:val="0"/>
          <w:color w:val="auto"/>
          <w:sz w:val="24"/>
          <w:szCs w:val="24"/>
          <w:lang w:eastAsia="zh-CN"/>
        </w:rPr>
        <w:t>、智能网联汽车、车联网与出行平台场景</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4762"/>
        <w:gridCol w:w="3969"/>
        <w:gridCol w:w="4536"/>
      </w:tblGrid>
      <w:tr w14:paraId="5F7237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tcW w:w="2268" w:type="dxa"/>
            <w:shd w:val="clear" w:color="auto" w:fill="1F4E79"/>
            <w:vAlign w:val="center"/>
          </w:tcPr>
          <w:p w14:paraId="2DD56981">
            <w:pPr>
              <w:spacing w:after="0" w:line="252" w:lineRule="auto"/>
              <w:rPr>
                <w:rFonts w:hint="eastAsia"/>
                <w:sz w:val="24"/>
                <w:szCs w:val="24"/>
              </w:rPr>
            </w:pPr>
            <w:r>
              <w:rPr>
                <w:b/>
                <w:color w:val="FFFFFF"/>
                <w:sz w:val="24"/>
                <w:szCs w:val="24"/>
              </w:rPr>
              <w:t>案例名称</w:t>
            </w:r>
          </w:p>
        </w:tc>
        <w:tc>
          <w:tcPr>
            <w:tcW w:w="4762" w:type="dxa"/>
            <w:shd w:val="clear" w:color="auto" w:fill="1F4E79"/>
            <w:vAlign w:val="center"/>
          </w:tcPr>
          <w:p w14:paraId="6F3D33DB">
            <w:pPr>
              <w:spacing w:after="0" w:line="252" w:lineRule="auto"/>
              <w:rPr>
                <w:rFonts w:hint="eastAsia"/>
                <w:sz w:val="24"/>
                <w:szCs w:val="24"/>
              </w:rPr>
            </w:pPr>
            <w:r>
              <w:rPr>
                <w:b/>
                <w:color w:val="FFFFFF"/>
                <w:sz w:val="24"/>
                <w:szCs w:val="24"/>
              </w:rPr>
              <w:t>具体案情提炼</w:t>
            </w:r>
          </w:p>
        </w:tc>
        <w:tc>
          <w:tcPr>
            <w:tcW w:w="3969" w:type="dxa"/>
            <w:shd w:val="clear" w:color="auto" w:fill="1F4E79"/>
            <w:vAlign w:val="center"/>
          </w:tcPr>
          <w:p w14:paraId="19FB4907">
            <w:pPr>
              <w:spacing w:after="0" w:line="252" w:lineRule="auto"/>
              <w:rPr>
                <w:rFonts w:hint="eastAsia"/>
                <w:sz w:val="24"/>
                <w:szCs w:val="24"/>
              </w:rPr>
            </w:pPr>
            <w:r>
              <w:rPr>
                <w:b/>
                <w:color w:val="FFFFFF"/>
                <w:sz w:val="24"/>
                <w:szCs w:val="24"/>
              </w:rPr>
              <w:t>涉案法条/规范</w:t>
            </w:r>
          </w:p>
        </w:tc>
        <w:tc>
          <w:tcPr>
            <w:tcW w:w="4536" w:type="dxa"/>
            <w:shd w:val="clear" w:color="auto" w:fill="1F4E79"/>
            <w:vAlign w:val="center"/>
          </w:tcPr>
          <w:p w14:paraId="582D5DBE">
            <w:pPr>
              <w:spacing w:after="0" w:line="252" w:lineRule="auto"/>
              <w:rPr>
                <w:rFonts w:hint="eastAsia"/>
                <w:sz w:val="24"/>
                <w:szCs w:val="24"/>
              </w:rPr>
            </w:pPr>
            <w:r>
              <w:rPr>
                <w:b/>
                <w:color w:val="FFFFFF"/>
                <w:sz w:val="24"/>
                <w:szCs w:val="24"/>
              </w:rPr>
              <w:t>案例分析/合规启示</w:t>
            </w:r>
          </w:p>
        </w:tc>
      </w:tr>
      <w:tr w14:paraId="10AB88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BD3EEB8">
            <w:pPr>
              <w:spacing w:after="0" w:line="252" w:lineRule="auto"/>
              <w:rPr>
                <w:rFonts w:hint="eastAsia"/>
                <w:sz w:val="24"/>
                <w:szCs w:val="24"/>
                <w:lang w:eastAsia="zh-CN"/>
              </w:rPr>
            </w:pPr>
            <w:r>
              <w:rPr>
                <w:sz w:val="24"/>
                <w:szCs w:val="24"/>
                <w:lang w:eastAsia="zh-CN"/>
              </w:rPr>
              <w:t>1. 小鹏汽车门店采集人脸照片案</w:t>
            </w:r>
          </w:p>
        </w:tc>
        <w:tc>
          <w:tcPr>
            <w:tcW w:w="4762" w:type="dxa"/>
            <w:vAlign w:val="center"/>
          </w:tcPr>
          <w:p w14:paraId="4C79DF9C">
            <w:pPr>
              <w:spacing w:after="0" w:line="252" w:lineRule="auto"/>
              <w:rPr>
                <w:rFonts w:hint="eastAsia"/>
                <w:sz w:val="24"/>
                <w:szCs w:val="24"/>
                <w:lang w:eastAsia="zh-CN"/>
              </w:rPr>
            </w:pPr>
            <w:r>
              <w:rPr>
                <w:sz w:val="24"/>
                <w:szCs w:val="24"/>
                <w:lang w:eastAsia="zh-CN"/>
              </w:rPr>
              <w:t>上海小鹏汽车销售服务有限公司在门店安装人脸识别设备，未明示告知也未取得消费者同意，采集上传人脸照片 43 万余张，后被市场监管部门处罚并拆除设备。</w:t>
            </w:r>
          </w:p>
        </w:tc>
        <w:tc>
          <w:tcPr>
            <w:tcW w:w="3969" w:type="dxa"/>
            <w:vAlign w:val="center"/>
          </w:tcPr>
          <w:p w14:paraId="7A844A8C">
            <w:pPr>
              <w:spacing w:after="0" w:line="252" w:lineRule="auto"/>
              <w:rPr>
                <w:rFonts w:hint="eastAsia"/>
                <w:sz w:val="24"/>
                <w:szCs w:val="24"/>
                <w:lang w:eastAsia="zh-CN"/>
              </w:rPr>
            </w:pPr>
            <w:r>
              <w:rPr>
                <w:sz w:val="24"/>
                <w:szCs w:val="24"/>
                <w:lang w:eastAsia="zh-CN"/>
              </w:rPr>
              <w:t>《个人信息保护法》第5条、第6条、第13条、第17条、第28条、第29条、第30条、第51条；《消费者权益保护法》第29条。</w:t>
            </w:r>
          </w:p>
        </w:tc>
        <w:tc>
          <w:tcPr>
            <w:tcW w:w="4536" w:type="dxa"/>
            <w:vAlign w:val="center"/>
          </w:tcPr>
          <w:p w14:paraId="402CC5C2">
            <w:pPr>
              <w:spacing w:after="0" w:line="252" w:lineRule="auto"/>
              <w:rPr>
                <w:rFonts w:hint="eastAsia"/>
                <w:sz w:val="24"/>
                <w:szCs w:val="24"/>
                <w:lang w:eastAsia="zh-CN"/>
              </w:rPr>
            </w:pPr>
            <w:r>
              <w:rPr>
                <w:sz w:val="24"/>
                <w:szCs w:val="24"/>
                <w:lang w:eastAsia="zh-CN"/>
              </w:rPr>
              <w:t>人脸信息属于生物识别类敏感个人信息。汽车企业的数据治理不只限于车辆运行，也应覆盖门店、试驾、售后、App、客服和第三方营销链条。</w:t>
            </w:r>
          </w:p>
        </w:tc>
      </w:tr>
      <w:tr w14:paraId="76EC2E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1FA84A71">
            <w:pPr>
              <w:spacing w:after="0" w:line="252" w:lineRule="auto"/>
              <w:rPr>
                <w:rFonts w:hint="eastAsia"/>
                <w:sz w:val="24"/>
                <w:szCs w:val="24"/>
                <w:lang w:eastAsia="zh-CN"/>
              </w:rPr>
            </w:pPr>
            <w:r>
              <w:rPr>
                <w:sz w:val="24"/>
                <w:szCs w:val="24"/>
                <w:lang w:eastAsia="zh-CN"/>
              </w:rPr>
              <w:t>2. 特斯拉行车数据查询与公开争议</w:t>
            </w:r>
          </w:p>
        </w:tc>
        <w:tc>
          <w:tcPr>
            <w:tcW w:w="4762" w:type="dxa"/>
            <w:shd w:val="clear" w:color="auto" w:fill="F7F7F7"/>
            <w:vAlign w:val="center"/>
          </w:tcPr>
          <w:p w14:paraId="163C9DDB">
            <w:pPr>
              <w:spacing w:after="0" w:line="252" w:lineRule="auto"/>
              <w:rPr>
                <w:rFonts w:hint="eastAsia"/>
                <w:sz w:val="24"/>
                <w:szCs w:val="24"/>
                <w:lang w:eastAsia="zh-CN"/>
              </w:rPr>
            </w:pPr>
            <w:r>
              <w:rPr>
                <w:sz w:val="24"/>
                <w:szCs w:val="24"/>
                <w:lang w:eastAsia="zh-CN"/>
              </w:rPr>
              <w:t>2021 年上海车展特斯拉车主维权事件中，监管部门曾责令特斯拉向车主提供事故前半小时完整行车数据，后续又引发车辆数据查询、复制与社会公开边界争议。</w:t>
            </w:r>
          </w:p>
        </w:tc>
        <w:tc>
          <w:tcPr>
            <w:tcW w:w="3969" w:type="dxa"/>
            <w:shd w:val="clear" w:color="auto" w:fill="F7F7F7"/>
            <w:vAlign w:val="center"/>
          </w:tcPr>
          <w:p w14:paraId="2E809501">
            <w:pPr>
              <w:spacing w:after="0" w:line="252" w:lineRule="auto"/>
              <w:rPr>
                <w:rFonts w:hint="eastAsia"/>
                <w:sz w:val="24"/>
                <w:szCs w:val="24"/>
                <w:lang w:eastAsia="zh-CN"/>
              </w:rPr>
            </w:pPr>
            <w:r>
              <w:rPr>
                <w:sz w:val="24"/>
                <w:szCs w:val="24"/>
                <w:lang w:eastAsia="zh-CN"/>
              </w:rPr>
              <w:t>《个人信息保护法》第45条、第46条、第47条；《消费者权益保护法》知情权规则；《汽车数据安全管理若干规定（试行）》。</w:t>
            </w:r>
          </w:p>
        </w:tc>
        <w:tc>
          <w:tcPr>
            <w:tcW w:w="4536" w:type="dxa"/>
            <w:shd w:val="clear" w:color="auto" w:fill="F7F7F7"/>
            <w:vAlign w:val="center"/>
          </w:tcPr>
          <w:p w14:paraId="15E114EB">
            <w:pPr>
              <w:spacing w:after="0" w:line="252" w:lineRule="auto"/>
              <w:rPr>
                <w:rFonts w:hint="eastAsia"/>
                <w:sz w:val="24"/>
                <w:szCs w:val="24"/>
                <w:lang w:eastAsia="zh-CN"/>
              </w:rPr>
            </w:pPr>
            <w:r>
              <w:rPr>
                <w:sz w:val="24"/>
                <w:szCs w:val="24"/>
                <w:lang w:eastAsia="zh-CN"/>
              </w:rPr>
              <w:t>行车数据如能结合车辆识别码、轨迹、时间地点识别自然人，即可能构成个人信息。车企应区分向本人提供数据与向社会公开数据，前者服务知情和维权，后者须避免披露他人信息。</w:t>
            </w:r>
          </w:p>
        </w:tc>
      </w:tr>
      <w:tr w14:paraId="13CEBD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DCB2CA2">
            <w:pPr>
              <w:spacing w:after="0" w:line="252" w:lineRule="auto"/>
              <w:rPr>
                <w:rFonts w:hint="eastAsia"/>
                <w:sz w:val="24"/>
                <w:szCs w:val="24"/>
                <w:lang w:eastAsia="zh-CN"/>
              </w:rPr>
            </w:pPr>
            <w:r>
              <w:rPr>
                <w:sz w:val="24"/>
                <w:szCs w:val="24"/>
                <w:lang w:eastAsia="zh-CN"/>
              </w:rPr>
              <w:t>3. 特斯拉中国建立本地数据中心</w:t>
            </w:r>
          </w:p>
        </w:tc>
        <w:tc>
          <w:tcPr>
            <w:tcW w:w="4762" w:type="dxa"/>
            <w:vAlign w:val="center"/>
          </w:tcPr>
          <w:p w14:paraId="567C2070">
            <w:pPr>
              <w:spacing w:after="0" w:line="252" w:lineRule="auto"/>
              <w:rPr>
                <w:rFonts w:hint="eastAsia"/>
                <w:sz w:val="24"/>
                <w:szCs w:val="24"/>
                <w:lang w:eastAsia="zh-CN"/>
              </w:rPr>
            </w:pPr>
            <w:r>
              <w:rPr>
                <w:sz w:val="24"/>
                <w:szCs w:val="24"/>
                <w:lang w:eastAsia="zh-CN"/>
              </w:rPr>
              <w:t>特斯拉宣布在中国建立数据中心，将中国大陆市场车辆产生的数据本地化存储，以回应车辆数据出境、国家安全和用户权益保护问题。</w:t>
            </w:r>
          </w:p>
        </w:tc>
        <w:tc>
          <w:tcPr>
            <w:tcW w:w="3969" w:type="dxa"/>
            <w:vAlign w:val="center"/>
          </w:tcPr>
          <w:p w14:paraId="72F53D81">
            <w:pPr>
              <w:spacing w:after="0" w:line="252" w:lineRule="auto"/>
              <w:rPr>
                <w:rFonts w:hint="eastAsia"/>
                <w:sz w:val="24"/>
                <w:szCs w:val="24"/>
                <w:lang w:eastAsia="zh-CN"/>
              </w:rPr>
            </w:pPr>
            <w:r>
              <w:rPr>
                <w:sz w:val="24"/>
                <w:szCs w:val="24"/>
                <w:lang w:eastAsia="zh-CN"/>
              </w:rPr>
              <w:t>《个人信息保护法》第38条至第40条；《数据安全法》第27条、第29条；《汽车数据安全管理若干规定（试行）》关于境内存储、必要出境和安全评估要求。</w:t>
            </w:r>
          </w:p>
        </w:tc>
        <w:tc>
          <w:tcPr>
            <w:tcW w:w="4536" w:type="dxa"/>
            <w:vAlign w:val="center"/>
          </w:tcPr>
          <w:p w14:paraId="45456F61">
            <w:pPr>
              <w:spacing w:after="0" w:line="252" w:lineRule="auto"/>
              <w:rPr>
                <w:rFonts w:hint="eastAsia"/>
                <w:sz w:val="24"/>
                <w:szCs w:val="24"/>
                <w:lang w:eastAsia="zh-CN"/>
              </w:rPr>
            </w:pPr>
            <w:r>
              <w:rPr>
                <w:sz w:val="24"/>
                <w:szCs w:val="24"/>
                <w:lang w:eastAsia="zh-CN"/>
              </w:rPr>
              <w:t>该案属于合规治理型案例，说明智能汽车数据跨境应以境内存储为原则。确需出境时，应先分类分级、评估是否涉及重要数据和敏感个人信息，再履行相应合规路径。</w:t>
            </w:r>
          </w:p>
        </w:tc>
      </w:tr>
      <w:tr w14:paraId="6BA8B6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7D3FE285">
            <w:pPr>
              <w:spacing w:after="0" w:line="252" w:lineRule="auto"/>
              <w:rPr>
                <w:rFonts w:hint="eastAsia"/>
                <w:sz w:val="24"/>
                <w:szCs w:val="24"/>
                <w:lang w:eastAsia="zh-CN"/>
              </w:rPr>
            </w:pPr>
            <w:r>
              <w:rPr>
                <w:sz w:val="24"/>
                <w:szCs w:val="24"/>
                <w:lang w:eastAsia="zh-CN"/>
              </w:rPr>
              <w:t>4. 车联网移动 App 安全测评材料</w:t>
            </w:r>
          </w:p>
        </w:tc>
        <w:tc>
          <w:tcPr>
            <w:tcW w:w="4762" w:type="dxa"/>
            <w:shd w:val="clear" w:color="auto" w:fill="F7F7F7"/>
            <w:vAlign w:val="center"/>
          </w:tcPr>
          <w:p w14:paraId="16E1FC15">
            <w:pPr>
              <w:spacing w:after="0" w:line="252" w:lineRule="auto"/>
              <w:rPr>
                <w:rFonts w:hint="eastAsia"/>
                <w:sz w:val="24"/>
                <w:szCs w:val="24"/>
                <w:lang w:eastAsia="zh-CN"/>
              </w:rPr>
            </w:pPr>
            <w:r>
              <w:rPr>
                <w:sz w:val="24"/>
                <w:szCs w:val="24"/>
                <w:lang w:eastAsia="zh-CN"/>
              </w:rPr>
              <w:t>材料提到车联网 App 在权限申请、接口调用、远程控制、日志留存和云端连接中可能存在越权访问、明文传输、弱认证、隐私政策笼统等问题。</w:t>
            </w:r>
          </w:p>
        </w:tc>
        <w:tc>
          <w:tcPr>
            <w:tcW w:w="3969" w:type="dxa"/>
            <w:shd w:val="clear" w:color="auto" w:fill="F7F7F7"/>
            <w:vAlign w:val="center"/>
          </w:tcPr>
          <w:p w14:paraId="76907D87">
            <w:pPr>
              <w:spacing w:after="0" w:line="252" w:lineRule="auto"/>
              <w:rPr>
                <w:rFonts w:hint="eastAsia"/>
                <w:sz w:val="24"/>
                <w:szCs w:val="24"/>
                <w:lang w:eastAsia="zh-CN"/>
              </w:rPr>
            </w:pPr>
            <w:r>
              <w:rPr>
                <w:sz w:val="24"/>
                <w:szCs w:val="24"/>
                <w:lang w:eastAsia="zh-CN"/>
              </w:rPr>
              <w:t>《个人信息保护法》第5条、第6条、第17条、第51条；《网络安全法》第21条、第42条；《移动互联网应用程序个人信息保护管理暂行规定（征求意见/相关监管规则）》。</w:t>
            </w:r>
          </w:p>
        </w:tc>
        <w:tc>
          <w:tcPr>
            <w:tcW w:w="4536" w:type="dxa"/>
            <w:shd w:val="clear" w:color="auto" w:fill="F7F7F7"/>
            <w:vAlign w:val="center"/>
          </w:tcPr>
          <w:p w14:paraId="202CA453">
            <w:pPr>
              <w:spacing w:after="0" w:line="252" w:lineRule="auto"/>
              <w:rPr>
                <w:rFonts w:hint="eastAsia"/>
                <w:sz w:val="24"/>
                <w:szCs w:val="24"/>
                <w:lang w:eastAsia="zh-CN"/>
              </w:rPr>
            </w:pPr>
            <w:r>
              <w:rPr>
                <w:sz w:val="24"/>
                <w:szCs w:val="24"/>
                <w:lang w:eastAsia="zh-CN"/>
              </w:rPr>
              <w:t>车联网 App 是车辆端、云端与用户端的连接入口。应对远程开锁、定位查询、行程记录等高风险功能设置强认证、最小权限、二次确认和异常操作告警。</w:t>
            </w:r>
          </w:p>
        </w:tc>
      </w:tr>
      <w:tr w14:paraId="200AA3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26B6F3B">
            <w:pPr>
              <w:spacing w:after="0" w:line="252" w:lineRule="auto"/>
              <w:rPr>
                <w:rFonts w:hint="eastAsia"/>
                <w:sz w:val="24"/>
                <w:szCs w:val="24"/>
                <w:lang w:eastAsia="zh-CN"/>
              </w:rPr>
            </w:pPr>
            <w:r>
              <w:rPr>
                <w:sz w:val="24"/>
                <w:szCs w:val="24"/>
                <w:lang w:eastAsia="zh-CN"/>
              </w:rPr>
              <w:t>5. 滴滴全球股份有限公司网络安全审查行政处罚案</w:t>
            </w:r>
          </w:p>
        </w:tc>
        <w:tc>
          <w:tcPr>
            <w:tcW w:w="4762" w:type="dxa"/>
            <w:vAlign w:val="center"/>
          </w:tcPr>
          <w:p w14:paraId="2E96F92F">
            <w:pPr>
              <w:spacing w:after="0" w:line="252" w:lineRule="auto"/>
              <w:rPr>
                <w:rFonts w:hint="eastAsia"/>
                <w:sz w:val="24"/>
                <w:szCs w:val="24"/>
                <w:lang w:eastAsia="zh-CN"/>
              </w:rPr>
            </w:pPr>
            <w:r>
              <w:rPr>
                <w:sz w:val="24"/>
                <w:szCs w:val="24"/>
                <w:lang w:eastAsia="zh-CN"/>
              </w:rPr>
              <w:t>2022 年国家网信办公布处罚决定，认定滴滴存在违法收集相册截图、剪切板、应用列表、乘客人脸识别、年龄段、职业、亲情关系、家和公司地址、精准位置等行为，违法处理个人信息达 647.09 亿条，被罚 80.26 亿元，相关负责人各罚 100 万元。</w:t>
            </w:r>
          </w:p>
        </w:tc>
        <w:tc>
          <w:tcPr>
            <w:tcW w:w="3969" w:type="dxa"/>
            <w:vAlign w:val="center"/>
          </w:tcPr>
          <w:p w14:paraId="70E2563D">
            <w:pPr>
              <w:spacing w:after="0" w:line="252" w:lineRule="auto"/>
              <w:rPr>
                <w:rFonts w:hint="eastAsia"/>
                <w:sz w:val="24"/>
                <w:szCs w:val="24"/>
                <w:lang w:eastAsia="zh-CN"/>
              </w:rPr>
            </w:pPr>
            <w:r>
              <w:rPr>
                <w:sz w:val="24"/>
                <w:szCs w:val="24"/>
                <w:lang w:eastAsia="zh-CN"/>
              </w:rPr>
              <w:t>《个人信息保护法》第5条、第6条、第17条、第28条、第29条、第51条；《数据安全法》第27条、第29条；《网络安全法》第41条、第42条；《行政处罚法》。</w:t>
            </w:r>
          </w:p>
        </w:tc>
        <w:tc>
          <w:tcPr>
            <w:tcW w:w="4536" w:type="dxa"/>
            <w:vAlign w:val="center"/>
          </w:tcPr>
          <w:p w14:paraId="36135E04">
            <w:pPr>
              <w:spacing w:after="0" w:line="252" w:lineRule="auto"/>
              <w:rPr>
                <w:rFonts w:hint="eastAsia"/>
                <w:sz w:val="24"/>
                <w:szCs w:val="24"/>
                <w:lang w:eastAsia="zh-CN"/>
              </w:rPr>
            </w:pPr>
            <w:r>
              <w:rPr>
                <w:sz w:val="24"/>
                <w:szCs w:val="24"/>
                <w:lang w:eastAsia="zh-CN"/>
              </w:rPr>
              <w:t>网约车平台连接车辆、司机、乘客、道路和算法，长期处理精准位置和出行画像。安全运营、反作弊和商业优化不能成为无限制收集敏感个人信息的理由。</w:t>
            </w:r>
          </w:p>
        </w:tc>
      </w:tr>
      <w:tr w14:paraId="4FA6ED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531D531B">
            <w:pPr>
              <w:spacing w:after="0" w:line="252" w:lineRule="auto"/>
              <w:rPr>
                <w:rFonts w:hint="eastAsia"/>
                <w:sz w:val="24"/>
                <w:szCs w:val="24"/>
                <w:lang w:eastAsia="zh-CN"/>
              </w:rPr>
            </w:pPr>
            <w:r>
              <w:rPr>
                <w:sz w:val="24"/>
                <w:szCs w:val="24"/>
                <w:lang w:eastAsia="zh-CN"/>
              </w:rPr>
              <w:t>6. Uber 员工访问和云端安全保护不足案</w:t>
            </w:r>
          </w:p>
        </w:tc>
        <w:tc>
          <w:tcPr>
            <w:tcW w:w="4762" w:type="dxa"/>
            <w:shd w:val="clear" w:color="auto" w:fill="F7F7F7"/>
            <w:vAlign w:val="center"/>
          </w:tcPr>
          <w:p w14:paraId="270A0D8C">
            <w:pPr>
              <w:spacing w:after="0" w:line="252" w:lineRule="auto"/>
              <w:rPr>
                <w:rFonts w:hint="eastAsia"/>
                <w:sz w:val="24"/>
                <w:szCs w:val="24"/>
                <w:lang w:eastAsia="zh-CN"/>
              </w:rPr>
            </w:pPr>
            <w:r>
              <w:rPr>
                <w:sz w:val="24"/>
                <w:szCs w:val="24"/>
                <w:lang w:eastAsia="zh-CN"/>
              </w:rPr>
              <w:t>FTC 指控 Uber 对外承诺限制员工访问乘客和司机数据、持续监控访问行为，但实际监控不足；同时云端存储和访问密钥管理存在缺陷，导致司机姓名、驾驶证号码等信息被黑客访问。</w:t>
            </w:r>
          </w:p>
        </w:tc>
        <w:tc>
          <w:tcPr>
            <w:tcW w:w="3969" w:type="dxa"/>
            <w:shd w:val="clear" w:color="auto" w:fill="F7F7F7"/>
            <w:vAlign w:val="center"/>
          </w:tcPr>
          <w:p w14:paraId="47B68C6D">
            <w:pPr>
              <w:spacing w:after="0" w:line="252" w:lineRule="auto"/>
              <w:rPr>
                <w:rFonts w:hint="eastAsia"/>
                <w:sz w:val="24"/>
                <w:szCs w:val="24"/>
                <w:lang w:eastAsia="zh-CN"/>
              </w:rPr>
            </w:pPr>
            <w:r>
              <w:rPr>
                <w:sz w:val="24"/>
                <w:szCs w:val="24"/>
                <w:lang w:eastAsia="zh-CN"/>
              </w:rPr>
              <w:t>美国《联邦贸易委员会法》第5条；对应我国《个人信息保护法》第9条、第51条、《网络安全法》第42条。</w:t>
            </w:r>
          </w:p>
        </w:tc>
        <w:tc>
          <w:tcPr>
            <w:tcW w:w="4536" w:type="dxa"/>
            <w:shd w:val="clear" w:color="auto" w:fill="F7F7F7"/>
            <w:vAlign w:val="center"/>
          </w:tcPr>
          <w:p w14:paraId="4135FFE6">
            <w:pPr>
              <w:spacing w:after="0" w:line="252" w:lineRule="auto"/>
              <w:rPr>
                <w:rFonts w:hint="eastAsia"/>
                <w:sz w:val="24"/>
                <w:szCs w:val="24"/>
                <w:lang w:eastAsia="zh-CN"/>
              </w:rPr>
            </w:pPr>
            <w:r>
              <w:rPr>
                <w:sz w:val="24"/>
                <w:szCs w:val="24"/>
                <w:lang w:eastAsia="zh-CN"/>
              </w:rPr>
              <w:t>出行平台的位置轨迹和身份数据对个人生活规律具有揭示性。企业不能只在隐私政策中承诺安全，而应落实密钥管理、MFA、访问日志、异常告警和独立审计。</w:t>
            </w:r>
          </w:p>
        </w:tc>
      </w:tr>
      <w:tr w14:paraId="1A198E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1E984A6">
            <w:pPr>
              <w:spacing w:after="0" w:line="252" w:lineRule="auto"/>
              <w:rPr>
                <w:rFonts w:hint="eastAsia"/>
                <w:sz w:val="24"/>
                <w:szCs w:val="24"/>
                <w:lang w:eastAsia="zh-CN"/>
              </w:rPr>
            </w:pPr>
            <w:r>
              <w:rPr>
                <w:sz w:val="24"/>
                <w:szCs w:val="24"/>
                <w:lang w:eastAsia="zh-CN"/>
              </w:rPr>
              <w:t>7. 丰田联网汽车云环境配置错误导致车辆位置数据潜在泄露案</w:t>
            </w:r>
          </w:p>
        </w:tc>
        <w:tc>
          <w:tcPr>
            <w:tcW w:w="4762" w:type="dxa"/>
            <w:vAlign w:val="center"/>
          </w:tcPr>
          <w:p w14:paraId="0692B591">
            <w:pPr>
              <w:spacing w:after="0" w:line="252" w:lineRule="auto"/>
              <w:rPr>
                <w:rFonts w:hint="eastAsia"/>
                <w:sz w:val="24"/>
                <w:szCs w:val="24"/>
                <w:lang w:eastAsia="zh-CN"/>
              </w:rPr>
            </w:pPr>
            <w:r>
              <w:rPr>
                <w:sz w:val="24"/>
                <w:szCs w:val="24"/>
                <w:lang w:eastAsia="zh-CN"/>
              </w:rPr>
              <w:t>2023 年丰田披露联网服务云环境配置问题，部分车辆和客户数据曾存在被外部访问风险，日本约 215 万名 T-Connect、G-Link 用户可能受影响，涉及车辆识别、车载终端信息和车辆位置相关数据。</w:t>
            </w:r>
          </w:p>
        </w:tc>
        <w:tc>
          <w:tcPr>
            <w:tcW w:w="3969" w:type="dxa"/>
            <w:vAlign w:val="center"/>
          </w:tcPr>
          <w:p w14:paraId="454C264F">
            <w:pPr>
              <w:spacing w:after="0" w:line="252" w:lineRule="auto"/>
              <w:rPr>
                <w:rFonts w:hint="eastAsia"/>
                <w:sz w:val="24"/>
                <w:szCs w:val="24"/>
                <w:lang w:eastAsia="zh-CN"/>
              </w:rPr>
            </w:pPr>
            <w:r>
              <w:rPr>
                <w:sz w:val="24"/>
                <w:szCs w:val="24"/>
                <w:lang w:eastAsia="zh-CN"/>
              </w:rPr>
              <w:t>日本个人信息保护相关规则；对应我国《个人信息保护法》第51条、第55条，《数据安全法》第27条、第29条，《汽车数据安全管理若干规定（试行）》。</w:t>
            </w:r>
          </w:p>
        </w:tc>
        <w:tc>
          <w:tcPr>
            <w:tcW w:w="4536" w:type="dxa"/>
            <w:vAlign w:val="center"/>
          </w:tcPr>
          <w:p w14:paraId="15668C1A">
            <w:pPr>
              <w:spacing w:after="0" w:line="252" w:lineRule="auto"/>
              <w:rPr>
                <w:rFonts w:hint="eastAsia"/>
                <w:sz w:val="24"/>
                <w:szCs w:val="24"/>
                <w:lang w:eastAsia="zh-CN"/>
              </w:rPr>
            </w:pPr>
            <w:r>
              <w:rPr>
                <w:sz w:val="24"/>
                <w:szCs w:val="24"/>
                <w:lang w:eastAsia="zh-CN"/>
              </w:rPr>
              <w:t>车辆位置和终端标识即使不直接显示姓名，也可通过长期轨迹和车辆编号识别个人。联网汽车企业应将云资产盘点、默认私有配置、密钥轮换、配置扫描和泄露演练纳入核心合规。</w:t>
            </w:r>
          </w:p>
        </w:tc>
      </w:tr>
    </w:tbl>
    <w:p w14:paraId="6178A76F">
      <w:pPr>
        <w:rPr>
          <w:rFonts w:hint="eastAsia"/>
          <w:sz w:val="24"/>
          <w:szCs w:val="24"/>
          <w:lang w:eastAsia="zh-CN"/>
        </w:rPr>
      </w:pPr>
      <w:r>
        <w:rPr>
          <w:sz w:val="24"/>
          <w:szCs w:val="24"/>
          <w:lang w:eastAsia="zh-CN"/>
        </w:rPr>
        <w:br w:type="page"/>
      </w:r>
    </w:p>
    <w:p w14:paraId="6CBC38FE">
      <w:pPr>
        <w:pStyle w:val="165"/>
        <w:spacing w:after="80"/>
        <w:rPr>
          <w:rFonts w:hint="eastAsia"/>
          <w:color w:val="auto"/>
          <w:sz w:val="24"/>
          <w:szCs w:val="24"/>
          <w:lang w:eastAsia="zh-CN"/>
        </w:rPr>
      </w:pPr>
      <w:r>
        <w:rPr>
          <w:rFonts w:hint="eastAsia"/>
          <w:b w:val="0"/>
          <w:color w:val="auto"/>
          <w:sz w:val="24"/>
          <w:szCs w:val="24"/>
          <w:lang w:eastAsia="zh-CN"/>
        </w:rPr>
        <w:t>3</w:t>
      </w:r>
      <w:r>
        <w:rPr>
          <w:b w:val="0"/>
          <w:color w:val="auto"/>
          <w:sz w:val="24"/>
          <w:szCs w:val="24"/>
          <w:lang w:eastAsia="zh-CN"/>
        </w:rPr>
        <w:t>、医疗健康数据与敏感个人信息保护场景</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4762"/>
        <w:gridCol w:w="3969"/>
        <w:gridCol w:w="4536"/>
      </w:tblGrid>
      <w:tr w14:paraId="6821A0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tcW w:w="2268" w:type="dxa"/>
            <w:shd w:val="clear" w:color="auto" w:fill="1F4E79"/>
            <w:vAlign w:val="center"/>
          </w:tcPr>
          <w:p w14:paraId="2E45C0D4">
            <w:pPr>
              <w:spacing w:after="0" w:line="252" w:lineRule="auto"/>
              <w:rPr>
                <w:rFonts w:hint="eastAsia"/>
                <w:sz w:val="24"/>
                <w:szCs w:val="24"/>
              </w:rPr>
            </w:pPr>
            <w:r>
              <w:rPr>
                <w:b/>
                <w:color w:val="FFFFFF"/>
                <w:sz w:val="24"/>
                <w:szCs w:val="24"/>
              </w:rPr>
              <w:t>案例名称</w:t>
            </w:r>
          </w:p>
        </w:tc>
        <w:tc>
          <w:tcPr>
            <w:tcW w:w="4762" w:type="dxa"/>
            <w:shd w:val="clear" w:color="auto" w:fill="1F4E79"/>
            <w:vAlign w:val="center"/>
          </w:tcPr>
          <w:p w14:paraId="45035FAE">
            <w:pPr>
              <w:spacing w:after="0" w:line="252" w:lineRule="auto"/>
              <w:rPr>
                <w:rFonts w:hint="eastAsia"/>
                <w:sz w:val="24"/>
                <w:szCs w:val="24"/>
              </w:rPr>
            </w:pPr>
            <w:r>
              <w:rPr>
                <w:b/>
                <w:color w:val="FFFFFF"/>
                <w:sz w:val="24"/>
                <w:szCs w:val="24"/>
              </w:rPr>
              <w:t>具体案情提炼</w:t>
            </w:r>
          </w:p>
        </w:tc>
        <w:tc>
          <w:tcPr>
            <w:tcW w:w="3969" w:type="dxa"/>
            <w:shd w:val="clear" w:color="auto" w:fill="1F4E79"/>
            <w:vAlign w:val="center"/>
          </w:tcPr>
          <w:p w14:paraId="2D7A67CF">
            <w:pPr>
              <w:spacing w:after="0" w:line="252" w:lineRule="auto"/>
              <w:rPr>
                <w:rFonts w:hint="eastAsia"/>
                <w:sz w:val="24"/>
                <w:szCs w:val="24"/>
              </w:rPr>
            </w:pPr>
            <w:r>
              <w:rPr>
                <w:b/>
                <w:color w:val="FFFFFF"/>
                <w:sz w:val="24"/>
                <w:szCs w:val="24"/>
              </w:rPr>
              <w:t>涉案法条/规范</w:t>
            </w:r>
          </w:p>
        </w:tc>
        <w:tc>
          <w:tcPr>
            <w:tcW w:w="4536" w:type="dxa"/>
            <w:shd w:val="clear" w:color="auto" w:fill="1F4E79"/>
            <w:vAlign w:val="center"/>
          </w:tcPr>
          <w:p w14:paraId="4BED429F">
            <w:pPr>
              <w:spacing w:after="0" w:line="252" w:lineRule="auto"/>
              <w:rPr>
                <w:rFonts w:hint="eastAsia"/>
                <w:sz w:val="24"/>
                <w:szCs w:val="24"/>
              </w:rPr>
            </w:pPr>
            <w:r>
              <w:rPr>
                <w:b/>
                <w:color w:val="FFFFFF"/>
                <w:sz w:val="24"/>
                <w:szCs w:val="24"/>
              </w:rPr>
              <w:t>案例分析/合规启示</w:t>
            </w:r>
          </w:p>
        </w:tc>
      </w:tr>
      <w:tr w14:paraId="269C5D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D081D8C">
            <w:pPr>
              <w:spacing w:after="0" w:line="252" w:lineRule="auto"/>
              <w:rPr>
                <w:rFonts w:hint="eastAsia"/>
                <w:sz w:val="24"/>
                <w:szCs w:val="24"/>
                <w:lang w:eastAsia="zh-CN"/>
              </w:rPr>
            </w:pPr>
            <w:r>
              <w:rPr>
                <w:sz w:val="24"/>
                <w:szCs w:val="24"/>
                <w:lang w:eastAsia="zh-CN"/>
              </w:rPr>
              <w:t>1. 外包软件公司非法获取医院挂号用户信息案（博某软件有限公司、何某某等案）</w:t>
            </w:r>
          </w:p>
        </w:tc>
        <w:tc>
          <w:tcPr>
            <w:tcW w:w="4762" w:type="dxa"/>
            <w:vAlign w:val="center"/>
          </w:tcPr>
          <w:p w14:paraId="6B6279B8">
            <w:pPr>
              <w:spacing w:after="0" w:line="252" w:lineRule="auto"/>
              <w:rPr>
                <w:rFonts w:hint="eastAsia"/>
                <w:sz w:val="24"/>
                <w:szCs w:val="24"/>
                <w:lang w:eastAsia="zh-CN"/>
              </w:rPr>
            </w:pPr>
            <w:r>
              <w:rPr>
                <w:sz w:val="24"/>
                <w:szCs w:val="24"/>
                <w:lang w:eastAsia="zh-CN"/>
              </w:rPr>
              <w:t>博某软件公司负责某医院网上挂号系统开发维护，法定代表人何某某暗中从后台获取挂号用户信息，并安排员工导入公司自建数据库；后又在医院软件上安装接口，自动导入挂号用户个人信息。</w:t>
            </w:r>
          </w:p>
        </w:tc>
        <w:tc>
          <w:tcPr>
            <w:tcW w:w="3969" w:type="dxa"/>
            <w:vAlign w:val="center"/>
          </w:tcPr>
          <w:p w14:paraId="3BE47D68">
            <w:pPr>
              <w:spacing w:after="0" w:line="252" w:lineRule="auto"/>
              <w:rPr>
                <w:rFonts w:hint="eastAsia"/>
                <w:sz w:val="24"/>
                <w:szCs w:val="24"/>
                <w:lang w:eastAsia="zh-CN"/>
              </w:rPr>
            </w:pPr>
            <w:r>
              <w:rPr>
                <w:sz w:val="24"/>
                <w:szCs w:val="24"/>
                <w:lang w:eastAsia="zh-CN"/>
              </w:rPr>
              <w:t>《刑法》第253条之一；《个人信息保护法》第21条、第28条、第29条、第51条；《网络安全法》第42条。</w:t>
            </w:r>
          </w:p>
        </w:tc>
        <w:tc>
          <w:tcPr>
            <w:tcW w:w="4536" w:type="dxa"/>
            <w:vAlign w:val="center"/>
          </w:tcPr>
          <w:p w14:paraId="47ABD878">
            <w:pPr>
              <w:spacing w:after="0" w:line="252" w:lineRule="auto"/>
              <w:rPr>
                <w:rFonts w:hint="eastAsia"/>
                <w:sz w:val="24"/>
                <w:szCs w:val="24"/>
                <w:lang w:eastAsia="zh-CN"/>
              </w:rPr>
            </w:pPr>
            <w:r>
              <w:rPr>
                <w:sz w:val="24"/>
                <w:szCs w:val="24"/>
                <w:lang w:eastAsia="zh-CN"/>
              </w:rPr>
              <w:t>医疗外包服务商只能按医院委托目的处理数据，不得另建数据库、复制留存或二次使用患者信息。医院也应对受托方权限、接口和日志进行审计。</w:t>
            </w:r>
          </w:p>
        </w:tc>
      </w:tr>
      <w:tr w14:paraId="1410BF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57C330EE">
            <w:pPr>
              <w:spacing w:after="0" w:line="252" w:lineRule="auto"/>
              <w:rPr>
                <w:rFonts w:hint="eastAsia"/>
                <w:sz w:val="24"/>
                <w:szCs w:val="24"/>
                <w:lang w:eastAsia="zh-CN"/>
              </w:rPr>
            </w:pPr>
            <w:r>
              <w:rPr>
                <w:sz w:val="24"/>
                <w:szCs w:val="24"/>
                <w:lang w:eastAsia="zh-CN"/>
              </w:rPr>
              <w:t>2. 医疗机构向保险代理机构泄露患者医疗健康信息行政公益诉讼案</w:t>
            </w:r>
          </w:p>
        </w:tc>
        <w:tc>
          <w:tcPr>
            <w:tcW w:w="4762" w:type="dxa"/>
            <w:shd w:val="clear" w:color="auto" w:fill="F7F7F7"/>
            <w:vAlign w:val="center"/>
          </w:tcPr>
          <w:p w14:paraId="76390E4C">
            <w:pPr>
              <w:spacing w:after="0" w:line="252" w:lineRule="auto"/>
              <w:rPr>
                <w:rFonts w:hint="eastAsia"/>
                <w:sz w:val="24"/>
                <w:szCs w:val="24"/>
                <w:lang w:eastAsia="zh-CN"/>
              </w:rPr>
            </w:pPr>
            <w:r>
              <w:rPr>
                <w:sz w:val="24"/>
                <w:szCs w:val="24"/>
                <w:lang w:eastAsia="zh-CN"/>
              </w:rPr>
              <w:t>医疗机构工作人员或相关主体向保险代理机构提供患者姓名、手术类型、联系电话等信息，用于保险营销或业务拓展，检察机关通过行政公益诉讼推动整改。</w:t>
            </w:r>
          </w:p>
        </w:tc>
        <w:tc>
          <w:tcPr>
            <w:tcW w:w="3969" w:type="dxa"/>
            <w:shd w:val="clear" w:color="auto" w:fill="F7F7F7"/>
            <w:vAlign w:val="center"/>
          </w:tcPr>
          <w:p w14:paraId="05E672C6">
            <w:pPr>
              <w:spacing w:after="0" w:line="252" w:lineRule="auto"/>
              <w:rPr>
                <w:rFonts w:hint="eastAsia"/>
                <w:sz w:val="24"/>
                <w:szCs w:val="24"/>
                <w:lang w:eastAsia="zh-CN"/>
              </w:rPr>
            </w:pPr>
            <w:r>
              <w:rPr>
                <w:sz w:val="24"/>
                <w:szCs w:val="24"/>
                <w:lang w:eastAsia="zh-CN"/>
              </w:rPr>
              <w:t>《个人信息保护法》第5条、第6条、第13条、第23条、第28条、第29条、第51条；《民法典》个人信息保护规则。</w:t>
            </w:r>
          </w:p>
        </w:tc>
        <w:tc>
          <w:tcPr>
            <w:tcW w:w="4536" w:type="dxa"/>
            <w:shd w:val="clear" w:color="auto" w:fill="F7F7F7"/>
            <w:vAlign w:val="center"/>
          </w:tcPr>
          <w:p w14:paraId="74CDBE77">
            <w:pPr>
              <w:spacing w:after="0" w:line="252" w:lineRule="auto"/>
              <w:rPr>
                <w:rFonts w:hint="eastAsia"/>
                <w:sz w:val="24"/>
                <w:szCs w:val="24"/>
                <w:lang w:eastAsia="zh-CN"/>
              </w:rPr>
            </w:pPr>
            <w:r>
              <w:rPr>
                <w:sz w:val="24"/>
                <w:szCs w:val="24"/>
                <w:lang w:eastAsia="zh-CN"/>
              </w:rPr>
              <w:t>医疗健康信息不能从诊疗目的无缝转入保险营销。向第三方提供敏感个人信息，应有单独同意、明确目的、必要性和接收方保护措施。</w:t>
            </w:r>
          </w:p>
        </w:tc>
      </w:tr>
      <w:tr w14:paraId="18C29C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189137E">
            <w:pPr>
              <w:spacing w:after="0" w:line="252" w:lineRule="auto"/>
              <w:rPr>
                <w:rFonts w:hint="eastAsia"/>
                <w:sz w:val="24"/>
                <w:szCs w:val="24"/>
                <w:lang w:eastAsia="zh-CN"/>
              </w:rPr>
            </w:pPr>
            <w:r>
              <w:rPr>
                <w:sz w:val="24"/>
                <w:szCs w:val="24"/>
                <w:lang w:eastAsia="zh-CN"/>
              </w:rPr>
              <w:t>3. GoodRx 向广告平台共享消费者健康数据案</w:t>
            </w:r>
          </w:p>
        </w:tc>
        <w:tc>
          <w:tcPr>
            <w:tcW w:w="4762" w:type="dxa"/>
            <w:vAlign w:val="center"/>
          </w:tcPr>
          <w:p w14:paraId="62BDAD07">
            <w:pPr>
              <w:spacing w:after="0" w:line="252" w:lineRule="auto"/>
              <w:rPr>
                <w:rFonts w:hint="eastAsia"/>
                <w:sz w:val="24"/>
                <w:szCs w:val="24"/>
                <w:lang w:eastAsia="zh-CN"/>
              </w:rPr>
            </w:pPr>
            <w:r>
              <w:rPr>
                <w:sz w:val="24"/>
                <w:szCs w:val="24"/>
                <w:lang w:eastAsia="zh-CN"/>
              </w:rPr>
              <w:t>美国 GoodRx 被 FTC 指控将消费者药品、疾病、处方和健康相关数据通过追踪工具共享给 Facebook、Google 等广告平台，用于定向广告和营销分析，与其隐私承诺不一致。</w:t>
            </w:r>
          </w:p>
        </w:tc>
        <w:tc>
          <w:tcPr>
            <w:tcW w:w="3969" w:type="dxa"/>
            <w:vAlign w:val="center"/>
          </w:tcPr>
          <w:p w14:paraId="21A3C0BC">
            <w:pPr>
              <w:spacing w:after="0" w:line="252" w:lineRule="auto"/>
              <w:rPr>
                <w:rFonts w:hint="eastAsia"/>
                <w:sz w:val="24"/>
                <w:szCs w:val="24"/>
              </w:rPr>
            </w:pPr>
            <w:r>
              <w:rPr>
                <w:sz w:val="24"/>
                <w:szCs w:val="24"/>
              </w:rPr>
              <w:t>美国《联邦贸易委员会法》第5条、Health Breach Notification Rule；对应我国《个人信息保护法》第13条、第17条、第23条、第28条、第29条、第51条。</w:t>
            </w:r>
          </w:p>
        </w:tc>
        <w:tc>
          <w:tcPr>
            <w:tcW w:w="4536" w:type="dxa"/>
            <w:vAlign w:val="center"/>
          </w:tcPr>
          <w:p w14:paraId="2225A1F3">
            <w:pPr>
              <w:spacing w:after="0" w:line="252" w:lineRule="auto"/>
              <w:rPr>
                <w:rFonts w:hint="eastAsia"/>
                <w:sz w:val="24"/>
                <w:szCs w:val="24"/>
                <w:lang w:eastAsia="zh-CN"/>
              </w:rPr>
            </w:pPr>
            <w:r>
              <w:rPr>
                <w:sz w:val="24"/>
                <w:szCs w:val="24"/>
                <w:lang w:eastAsia="zh-CN"/>
              </w:rPr>
              <w:t>健康数据与广告平台共享具有高风险，即使通过 Cookie、像素或 SDK 技术实现，也应被视为个人信息提供或共同处理，不能用笼统隐私政策替代单独授权。</w:t>
            </w:r>
          </w:p>
        </w:tc>
      </w:tr>
      <w:tr w14:paraId="3CCEB0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7D082C29">
            <w:pPr>
              <w:spacing w:after="0" w:line="252" w:lineRule="auto"/>
              <w:rPr>
                <w:rFonts w:hint="eastAsia"/>
                <w:sz w:val="24"/>
                <w:szCs w:val="24"/>
                <w:lang w:eastAsia="zh-CN"/>
              </w:rPr>
            </w:pPr>
            <w:r>
              <w:rPr>
                <w:sz w:val="24"/>
                <w:szCs w:val="24"/>
                <w:lang w:eastAsia="zh-CN"/>
              </w:rPr>
              <w:t>4. 第三方医疗服务平台逻辑漏洞导致患者信息泄露风险案</w:t>
            </w:r>
          </w:p>
        </w:tc>
        <w:tc>
          <w:tcPr>
            <w:tcW w:w="4762" w:type="dxa"/>
            <w:shd w:val="clear" w:color="auto" w:fill="F7F7F7"/>
            <w:vAlign w:val="center"/>
          </w:tcPr>
          <w:p w14:paraId="3D932059">
            <w:pPr>
              <w:spacing w:after="0" w:line="252" w:lineRule="auto"/>
              <w:rPr>
                <w:rFonts w:hint="eastAsia"/>
                <w:sz w:val="24"/>
                <w:szCs w:val="24"/>
                <w:lang w:eastAsia="zh-CN"/>
              </w:rPr>
            </w:pPr>
            <w:r>
              <w:rPr>
                <w:sz w:val="24"/>
                <w:szCs w:val="24"/>
                <w:lang w:eastAsia="zh-CN"/>
              </w:rPr>
              <w:t>材料提到第三方医疗服务平台因接口逻辑漏洞、未授权访问、敏感端口开放等问题，可能导致患者挂号、检查报告、问诊记录等信息被越权查询或批量获取。</w:t>
            </w:r>
          </w:p>
        </w:tc>
        <w:tc>
          <w:tcPr>
            <w:tcW w:w="3969" w:type="dxa"/>
            <w:shd w:val="clear" w:color="auto" w:fill="F7F7F7"/>
            <w:vAlign w:val="center"/>
          </w:tcPr>
          <w:p w14:paraId="504CCF1F">
            <w:pPr>
              <w:spacing w:after="0" w:line="252" w:lineRule="auto"/>
              <w:rPr>
                <w:rFonts w:hint="eastAsia"/>
                <w:sz w:val="24"/>
                <w:szCs w:val="24"/>
                <w:lang w:eastAsia="zh-CN"/>
              </w:rPr>
            </w:pPr>
            <w:r>
              <w:rPr>
                <w:sz w:val="24"/>
                <w:szCs w:val="24"/>
                <w:lang w:eastAsia="zh-CN"/>
              </w:rPr>
              <w:t>《个人信息保护法》第51条、第55条、第56条；《网络安全法》第21条、第42条；《数据安全法》第27条、第29条；GB/T 39725-2020《信息安全技术 健康医疗数据安全指南》。</w:t>
            </w:r>
          </w:p>
        </w:tc>
        <w:tc>
          <w:tcPr>
            <w:tcW w:w="4536" w:type="dxa"/>
            <w:shd w:val="clear" w:color="auto" w:fill="F7F7F7"/>
            <w:vAlign w:val="center"/>
          </w:tcPr>
          <w:p w14:paraId="2DB2BB78">
            <w:pPr>
              <w:spacing w:after="0" w:line="252" w:lineRule="auto"/>
              <w:rPr>
                <w:rFonts w:hint="eastAsia"/>
                <w:sz w:val="24"/>
                <w:szCs w:val="24"/>
                <w:lang w:eastAsia="zh-CN"/>
              </w:rPr>
            </w:pPr>
            <w:r>
              <w:rPr>
                <w:sz w:val="24"/>
                <w:szCs w:val="24"/>
                <w:lang w:eastAsia="zh-CN"/>
              </w:rPr>
              <w:t>互联网医疗平台应对接口鉴权、对象级授权、敏感接口访问频率、日志审计和应急响应进行专项治理，不能只依赖前端隐藏或登录态控制。</w:t>
            </w:r>
          </w:p>
        </w:tc>
      </w:tr>
      <w:tr w14:paraId="2B9F60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067499E">
            <w:pPr>
              <w:spacing w:after="0" w:line="252" w:lineRule="auto"/>
              <w:rPr>
                <w:rFonts w:hint="eastAsia"/>
                <w:sz w:val="24"/>
                <w:szCs w:val="24"/>
                <w:lang w:eastAsia="zh-CN"/>
              </w:rPr>
            </w:pPr>
            <w:r>
              <w:rPr>
                <w:sz w:val="24"/>
                <w:szCs w:val="24"/>
                <w:lang w:eastAsia="zh-CN"/>
              </w:rPr>
              <w:t>5. 基因检测 App 采集和商业开发遗传信息风险案</w:t>
            </w:r>
          </w:p>
        </w:tc>
        <w:tc>
          <w:tcPr>
            <w:tcW w:w="4762" w:type="dxa"/>
            <w:vAlign w:val="center"/>
          </w:tcPr>
          <w:p w14:paraId="75802F73">
            <w:pPr>
              <w:spacing w:after="0" w:line="252" w:lineRule="auto"/>
              <w:rPr>
                <w:rFonts w:hint="eastAsia"/>
                <w:sz w:val="24"/>
                <w:szCs w:val="24"/>
                <w:lang w:eastAsia="zh-CN"/>
              </w:rPr>
            </w:pPr>
            <w:r>
              <w:rPr>
                <w:sz w:val="24"/>
                <w:szCs w:val="24"/>
                <w:lang w:eastAsia="zh-CN"/>
              </w:rPr>
              <w:t>基因检测 App 或机构可能在检测服务之外，将样本、基因序列、遗传病风险、药物反应等信息用于科研建模、商业合作、二次开发或跨境传输。</w:t>
            </w:r>
          </w:p>
        </w:tc>
        <w:tc>
          <w:tcPr>
            <w:tcW w:w="3969" w:type="dxa"/>
            <w:vAlign w:val="center"/>
          </w:tcPr>
          <w:p w14:paraId="51A9550C">
            <w:pPr>
              <w:spacing w:after="0" w:line="252" w:lineRule="auto"/>
              <w:rPr>
                <w:rFonts w:hint="eastAsia"/>
                <w:sz w:val="24"/>
                <w:szCs w:val="24"/>
                <w:lang w:eastAsia="zh-CN"/>
              </w:rPr>
            </w:pPr>
            <w:r>
              <w:rPr>
                <w:sz w:val="24"/>
                <w:szCs w:val="24"/>
                <w:lang w:eastAsia="zh-CN"/>
              </w:rPr>
              <w:t>《个人信息保护法》第28条、第29条、第30条、第31条、第38条至第40条、第55条；《生物安全法》；《人类遗传资源管理条例》。</w:t>
            </w:r>
          </w:p>
        </w:tc>
        <w:tc>
          <w:tcPr>
            <w:tcW w:w="4536" w:type="dxa"/>
            <w:vAlign w:val="center"/>
          </w:tcPr>
          <w:p w14:paraId="68309A61">
            <w:pPr>
              <w:spacing w:after="0" w:line="252" w:lineRule="auto"/>
              <w:rPr>
                <w:rFonts w:hint="eastAsia"/>
                <w:sz w:val="24"/>
                <w:szCs w:val="24"/>
                <w:lang w:eastAsia="zh-CN"/>
              </w:rPr>
            </w:pPr>
            <w:r>
              <w:rPr>
                <w:sz w:val="24"/>
                <w:szCs w:val="24"/>
                <w:lang w:eastAsia="zh-CN"/>
              </w:rPr>
              <w:t>遗传信息具有不可变性、家族关联性和长期风险。检测、科研二次利用、商业共享和出境应分别取得合法依据，不能用一次检测同意覆盖全部后续处理。</w:t>
            </w:r>
          </w:p>
        </w:tc>
      </w:tr>
    </w:tbl>
    <w:p w14:paraId="1C363EEE">
      <w:pPr>
        <w:rPr>
          <w:rFonts w:hint="eastAsia"/>
          <w:sz w:val="24"/>
          <w:szCs w:val="24"/>
          <w:lang w:eastAsia="zh-CN"/>
        </w:rPr>
      </w:pPr>
      <w:r>
        <w:rPr>
          <w:sz w:val="24"/>
          <w:szCs w:val="24"/>
          <w:lang w:eastAsia="zh-CN"/>
        </w:rPr>
        <w:br w:type="page"/>
      </w:r>
    </w:p>
    <w:p w14:paraId="6818EB81">
      <w:pPr>
        <w:pStyle w:val="165"/>
        <w:spacing w:after="80"/>
        <w:rPr>
          <w:rFonts w:hint="eastAsia"/>
          <w:color w:val="auto"/>
          <w:sz w:val="24"/>
          <w:szCs w:val="24"/>
          <w:lang w:eastAsia="zh-CN"/>
        </w:rPr>
      </w:pPr>
      <w:r>
        <w:rPr>
          <w:rFonts w:hint="eastAsia"/>
          <w:b w:val="0"/>
          <w:color w:val="auto"/>
          <w:sz w:val="24"/>
          <w:szCs w:val="24"/>
          <w:lang w:eastAsia="zh-CN"/>
        </w:rPr>
        <w:t>4</w:t>
      </w:r>
      <w:r>
        <w:rPr>
          <w:b w:val="0"/>
          <w:color w:val="auto"/>
          <w:sz w:val="24"/>
          <w:szCs w:val="24"/>
          <w:lang w:eastAsia="zh-CN"/>
        </w:rPr>
        <w:t>、金融征信与金融数据安全场景</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4762"/>
        <w:gridCol w:w="3969"/>
        <w:gridCol w:w="4536"/>
      </w:tblGrid>
      <w:tr w14:paraId="4A541A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tcW w:w="2268" w:type="dxa"/>
            <w:shd w:val="clear" w:color="auto" w:fill="1F4E79"/>
          </w:tcPr>
          <w:p w14:paraId="337F7B45">
            <w:pPr>
              <w:spacing w:after="0" w:line="252" w:lineRule="auto"/>
              <w:rPr>
                <w:rFonts w:hint="eastAsia"/>
                <w:sz w:val="24"/>
                <w:szCs w:val="24"/>
              </w:rPr>
            </w:pPr>
            <w:r>
              <w:rPr>
                <w:b/>
                <w:color w:val="FFFFFF"/>
                <w:sz w:val="24"/>
                <w:szCs w:val="24"/>
              </w:rPr>
              <w:t>案例名称</w:t>
            </w:r>
          </w:p>
        </w:tc>
        <w:tc>
          <w:tcPr>
            <w:tcW w:w="4762" w:type="dxa"/>
            <w:shd w:val="clear" w:color="auto" w:fill="1F4E79"/>
          </w:tcPr>
          <w:p w14:paraId="3CA8D3C4">
            <w:pPr>
              <w:spacing w:after="0" w:line="252" w:lineRule="auto"/>
              <w:rPr>
                <w:rFonts w:hint="eastAsia"/>
                <w:sz w:val="24"/>
                <w:szCs w:val="24"/>
              </w:rPr>
            </w:pPr>
            <w:r>
              <w:rPr>
                <w:b/>
                <w:color w:val="FFFFFF"/>
                <w:sz w:val="24"/>
                <w:szCs w:val="24"/>
              </w:rPr>
              <w:t>具体案情提炼</w:t>
            </w:r>
          </w:p>
        </w:tc>
        <w:tc>
          <w:tcPr>
            <w:tcW w:w="3969" w:type="dxa"/>
            <w:shd w:val="clear" w:color="auto" w:fill="1F4E79"/>
          </w:tcPr>
          <w:p w14:paraId="33D0EDE8">
            <w:pPr>
              <w:spacing w:after="0" w:line="252" w:lineRule="auto"/>
              <w:rPr>
                <w:rFonts w:hint="eastAsia"/>
                <w:sz w:val="24"/>
                <w:szCs w:val="24"/>
              </w:rPr>
            </w:pPr>
            <w:r>
              <w:rPr>
                <w:b/>
                <w:color w:val="FFFFFF"/>
                <w:sz w:val="24"/>
                <w:szCs w:val="24"/>
              </w:rPr>
              <w:t>涉案法条/规范</w:t>
            </w:r>
          </w:p>
        </w:tc>
        <w:tc>
          <w:tcPr>
            <w:tcW w:w="4536" w:type="dxa"/>
            <w:shd w:val="clear" w:color="auto" w:fill="1F4E79"/>
          </w:tcPr>
          <w:p w14:paraId="71439FBD">
            <w:pPr>
              <w:spacing w:after="0" w:line="252" w:lineRule="auto"/>
              <w:rPr>
                <w:rFonts w:hint="eastAsia"/>
                <w:sz w:val="24"/>
                <w:szCs w:val="24"/>
              </w:rPr>
            </w:pPr>
            <w:r>
              <w:rPr>
                <w:b/>
                <w:color w:val="FFFFFF"/>
                <w:sz w:val="24"/>
                <w:szCs w:val="24"/>
              </w:rPr>
              <w:t>案例分析/合规启示</w:t>
            </w:r>
          </w:p>
        </w:tc>
      </w:tr>
      <w:tr w14:paraId="234B98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tcPr>
          <w:p w14:paraId="1781297B">
            <w:pPr>
              <w:spacing w:after="0" w:line="252" w:lineRule="auto"/>
              <w:rPr>
                <w:rFonts w:hint="eastAsia"/>
                <w:sz w:val="24"/>
                <w:szCs w:val="24"/>
                <w:lang w:eastAsia="zh-CN"/>
              </w:rPr>
            </w:pPr>
            <w:r>
              <w:rPr>
                <w:sz w:val="24"/>
                <w:szCs w:val="24"/>
                <w:lang w:eastAsia="zh-CN"/>
              </w:rPr>
              <w:t>1. 非法查询征信信息牟利案（韩世杰、旷源鸿、韩文华等案）</w:t>
            </w:r>
          </w:p>
        </w:tc>
        <w:tc>
          <w:tcPr>
            <w:tcW w:w="4762" w:type="dxa"/>
          </w:tcPr>
          <w:p w14:paraId="512107AF">
            <w:pPr>
              <w:spacing w:after="0" w:line="252" w:lineRule="auto"/>
              <w:rPr>
                <w:rFonts w:hint="eastAsia"/>
                <w:sz w:val="24"/>
                <w:szCs w:val="24"/>
                <w:lang w:eastAsia="zh-CN"/>
              </w:rPr>
            </w:pPr>
            <w:r>
              <w:rPr>
                <w:sz w:val="24"/>
                <w:szCs w:val="24"/>
                <w:lang w:eastAsia="zh-CN"/>
              </w:rPr>
              <w:t>相关人员利用征信查询便利或关系链非法查询、获取、出售他人征信信息，牟取利益，信息内容涉及个人信用、贷款、身份识别等高敏感金融数据。</w:t>
            </w:r>
          </w:p>
        </w:tc>
        <w:tc>
          <w:tcPr>
            <w:tcW w:w="3969" w:type="dxa"/>
          </w:tcPr>
          <w:p w14:paraId="7B30A0A8">
            <w:pPr>
              <w:spacing w:after="0" w:line="252" w:lineRule="auto"/>
              <w:rPr>
                <w:rFonts w:hint="eastAsia"/>
                <w:sz w:val="24"/>
                <w:szCs w:val="24"/>
                <w:lang w:eastAsia="zh-CN"/>
              </w:rPr>
            </w:pPr>
            <w:r>
              <w:rPr>
                <w:sz w:val="24"/>
                <w:szCs w:val="24"/>
                <w:lang w:eastAsia="zh-CN"/>
              </w:rPr>
              <w:t>《刑法》第253条之一；《个人信息保护法》第5条、第6条、第10条、第28条、第29条、第51条；《征信业管理条例》。</w:t>
            </w:r>
          </w:p>
        </w:tc>
        <w:tc>
          <w:tcPr>
            <w:tcW w:w="4536" w:type="dxa"/>
          </w:tcPr>
          <w:p w14:paraId="1390564E">
            <w:pPr>
              <w:spacing w:after="0" w:line="252" w:lineRule="auto"/>
              <w:rPr>
                <w:rFonts w:hint="eastAsia"/>
                <w:sz w:val="24"/>
                <w:szCs w:val="24"/>
                <w:lang w:eastAsia="zh-CN"/>
              </w:rPr>
            </w:pPr>
            <w:r>
              <w:rPr>
                <w:sz w:val="24"/>
                <w:szCs w:val="24"/>
                <w:lang w:eastAsia="zh-CN"/>
              </w:rPr>
              <w:t>征信信息可直接影响贷款、就业、交易机会和社会评价，属于高风险个人信息。金融机构应建立查询授权、用途留痕、异常查询告警和违规查询追责机制。</w:t>
            </w:r>
          </w:p>
        </w:tc>
      </w:tr>
      <w:tr w14:paraId="70A625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tcPr>
          <w:p w14:paraId="263289C1">
            <w:pPr>
              <w:spacing w:after="0" w:line="252" w:lineRule="auto"/>
              <w:rPr>
                <w:rFonts w:hint="eastAsia"/>
                <w:sz w:val="24"/>
                <w:szCs w:val="24"/>
              </w:rPr>
            </w:pPr>
            <w:r>
              <w:rPr>
                <w:sz w:val="24"/>
                <w:szCs w:val="24"/>
              </w:rPr>
              <w:t>2. Equifax 征信机构大规模数据泄露和解案</w:t>
            </w:r>
          </w:p>
        </w:tc>
        <w:tc>
          <w:tcPr>
            <w:tcW w:w="4762" w:type="dxa"/>
            <w:shd w:val="clear" w:color="auto" w:fill="F7F7F7"/>
          </w:tcPr>
          <w:p w14:paraId="7BDB864E">
            <w:pPr>
              <w:spacing w:after="0" w:line="252" w:lineRule="auto"/>
              <w:rPr>
                <w:rFonts w:hint="eastAsia"/>
                <w:sz w:val="24"/>
                <w:szCs w:val="24"/>
                <w:lang w:eastAsia="zh-CN"/>
              </w:rPr>
            </w:pPr>
            <w:r>
              <w:rPr>
                <w:sz w:val="24"/>
                <w:szCs w:val="24"/>
                <w:lang w:eastAsia="zh-CN"/>
              </w:rPr>
              <w:t>美国征信机构 Equifax 因系统漏洞和安全管理不足发生大规模数据泄露，影响大量消费者身份和信用信息，后与监管机构达成和解并承担赔偿、整改义务。</w:t>
            </w:r>
          </w:p>
        </w:tc>
        <w:tc>
          <w:tcPr>
            <w:tcW w:w="3969" w:type="dxa"/>
            <w:shd w:val="clear" w:color="auto" w:fill="F7F7F7"/>
          </w:tcPr>
          <w:p w14:paraId="2FBC4C55">
            <w:pPr>
              <w:spacing w:after="0" w:line="252" w:lineRule="auto"/>
              <w:rPr>
                <w:rFonts w:hint="eastAsia"/>
                <w:sz w:val="24"/>
                <w:szCs w:val="24"/>
                <w:lang w:eastAsia="zh-CN"/>
              </w:rPr>
            </w:pPr>
            <w:r>
              <w:rPr>
                <w:sz w:val="24"/>
                <w:szCs w:val="24"/>
                <w:lang w:eastAsia="zh-CN"/>
              </w:rPr>
              <w:t>美国《公平信用报告法》等消费者保护规则；对应我国《个人信息保护法》第51条、第55条、第56条，《网络安全法》第21条，《数据安全法》第27条、第29条。</w:t>
            </w:r>
          </w:p>
        </w:tc>
        <w:tc>
          <w:tcPr>
            <w:tcW w:w="4536" w:type="dxa"/>
            <w:shd w:val="clear" w:color="auto" w:fill="F7F7F7"/>
          </w:tcPr>
          <w:p w14:paraId="65C9253B">
            <w:pPr>
              <w:spacing w:after="0" w:line="252" w:lineRule="auto"/>
              <w:rPr>
                <w:rFonts w:hint="eastAsia"/>
                <w:sz w:val="24"/>
                <w:szCs w:val="24"/>
                <w:lang w:eastAsia="zh-CN"/>
              </w:rPr>
            </w:pPr>
            <w:r>
              <w:rPr>
                <w:sz w:val="24"/>
                <w:szCs w:val="24"/>
                <w:lang w:eastAsia="zh-CN"/>
              </w:rPr>
              <w:t>征信机构掌握集中、不可替代且高价值的数据资产，安全漏洞可能造成长期身份冒用风险。漏洞修复、补丁管理、加密、分级授权和事件通知是底线义务。</w:t>
            </w:r>
          </w:p>
        </w:tc>
      </w:tr>
      <w:tr w14:paraId="07FBB0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tcPr>
          <w:p w14:paraId="3104C306">
            <w:pPr>
              <w:spacing w:after="0" w:line="252" w:lineRule="auto"/>
              <w:rPr>
                <w:rFonts w:hint="eastAsia"/>
                <w:sz w:val="24"/>
                <w:szCs w:val="24"/>
              </w:rPr>
            </w:pPr>
            <w:r>
              <w:rPr>
                <w:sz w:val="24"/>
                <w:szCs w:val="24"/>
              </w:rPr>
              <w:t>3. Capital One 云迁移风险控制不足导致数据泄露处罚案</w:t>
            </w:r>
          </w:p>
        </w:tc>
        <w:tc>
          <w:tcPr>
            <w:tcW w:w="4762" w:type="dxa"/>
          </w:tcPr>
          <w:p w14:paraId="1EBA94C6">
            <w:pPr>
              <w:spacing w:after="0" w:line="252" w:lineRule="auto"/>
              <w:rPr>
                <w:rFonts w:hint="eastAsia"/>
                <w:sz w:val="24"/>
                <w:szCs w:val="24"/>
                <w:lang w:eastAsia="zh-CN"/>
              </w:rPr>
            </w:pPr>
            <w:r>
              <w:rPr>
                <w:sz w:val="24"/>
                <w:szCs w:val="24"/>
                <w:lang w:eastAsia="zh-CN"/>
              </w:rPr>
              <w:t>Capital One 在云环境配置和访问控制方面存在不足，导致大量信用卡申请人、客户数据被非法访问，后受到监管处罚并进行安全整改。</w:t>
            </w:r>
          </w:p>
        </w:tc>
        <w:tc>
          <w:tcPr>
            <w:tcW w:w="3969" w:type="dxa"/>
          </w:tcPr>
          <w:p w14:paraId="76EA305D">
            <w:pPr>
              <w:spacing w:after="0" w:line="252" w:lineRule="auto"/>
              <w:rPr>
                <w:rFonts w:hint="eastAsia"/>
                <w:sz w:val="24"/>
                <w:szCs w:val="24"/>
                <w:lang w:eastAsia="zh-CN"/>
              </w:rPr>
            </w:pPr>
            <w:r>
              <w:rPr>
                <w:sz w:val="24"/>
                <w:szCs w:val="24"/>
                <w:lang w:eastAsia="zh-CN"/>
              </w:rPr>
              <w:t>美国金融监管与消费者保护规则；对应我国《个人信息保护法》第51条、第55条，《数据安全法》第27条、第29条，《网络安全法》第21条。</w:t>
            </w:r>
          </w:p>
        </w:tc>
        <w:tc>
          <w:tcPr>
            <w:tcW w:w="4536" w:type="dxa"/>
          </w:tcPr>
          <w:p w14:paraId="114E6815">
            <w:pPr>
              <w:spacing w:after="0" w:line="252" w:lineRule="auto"/>
              <w:rPr>
                <w:rFonts w:hint="eastAsia"/>
                <w:sz w:val="24"/>
                <w:szCs w:val="24"/>
                <w:lang w:eastAsia="zh-CN"/>
              </w:rPr>
            </w:pPr>
            <w:r>
              <w:rPr>
                <w:sz w:val="24"/>
                <w:szCs w:val="24"/>
                <w:lang w:eastAsia="zh-CN"/>
              </w:rPr>
              <w:t>金融机构上云不能削弱安全义务。应开展云配置审计、最小权限、密钥轮换、入侵检测、第三方风险评估和云端日志留存。</w:t>
            </w:r>
          </w:p>
        </w:tc>
      </w:tr>
    </w:tbl>
    <w:p w14:paraId="5DB63F94">
      <w:pPr>
        <w:rPr>
          <w:rFonts w:hint="eastAsia"/>
          <w:sz w:val="24"/>
          <w:szCs w:val="24"/>
          <w:lang w:eastAsia="zh-CN"/>
        </w:rPr>
      </w:pPr>
      <w:r>
        <w:rPr>
          <w:sz w:val="24"/>
          <w:szCs w:val="24"/>
          <w:lang w:eastAsia="zh-CN"/>
        </w:rPr>
        <w:br w:type="page"/>
      </w:r>
    </w:p>
    <w:p w14:paraId="33B20355">
      <w:pPr>
        <w:pStyle w:val="165"/>
        <w:spacing w:after="80"/>
        <w:rPr>
          <w:rFonts w:hint="eastAsia"/>
          <w:color w:val="auto"/>
          <w:sz w:val="24"/>
          <w:szCs w:val="24"/>
          <w:lang w:eastAsia="zh-CN"/>
        </w:rPr>
      </w:pPr>
      <w:r>
        <w:rPr>
          <w:rFonts w:hint="eastAsia"/>
          <w:b w:val="0"/>
          <w:color w:val="auto"/>
          <w:sz w:val="24"/>
          <w:szCs w:val="24"/>
          <w:lang w:eastAsia="zh-CN"/>
        </w:rPr>
        <w:t>5</w:t>
      </w:r>
      <w:r>
        <w:rPr>
          <w:b w:val="0"/>
          <w:color w:val="auto"/>
          <w:sz w:val="24"/>
          <w:szCs w:val="24"/>
          <w:lang w:eastAsia="zh-CN"/>
        </w:rPr>
        <w:t>、儿童与未成年人个人信息保护场景</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4762"/>
        <w:gridCol w:w="3969"/>
        <w:gridCol w:w="4536"/>
      </w:tblGrid>
      <w:tr w14:paraId="32A468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tcW w:w="2268" w:type="dxa"/>
            <w:shd w:val="clear" w:color="auto" w:fill="1F4E79"/>
            <w:vAlign w:val="center"/>
          </w:tcPr>
          <w:p w14:paraId="7E23AF7D">
            <w:pPr>
              <w:spacing w:after="0" w:line="252" w:lineRule="auto"/>
              <w:rPr>
                <w:rFonts w:hint="eastAsia"/>
                <w:sz w:val="24"/>
                <w:szCs w:val="24"/>
              </w:rPr>
            </w:pPr>
            <w:bookmarkStart w:id="0" w:name="_GoBack"/>
            <w:bookmarkEnd w:id="0"/>
            <w:r>
              <w:rPr>
                <w:b/>
                <w:color w:val="FFFFFF"/>
                <w:sz w:val="24"/>
                <w:szCs w:val="24"/>
              </w:rPr>
              <w:t>案例名称</w:t>
            </w:r>
          </w:p>
        </w:tc>
        <w:tc>
          <w:tcPr>
            <w:tcW w:w="4762" w:type="dxa"/>
            <w:shd w:val="clear" w:color="auto" w:fill="1F4E79"/>
            <w:vAlign w:val="center"/>
          </w:tcPr>
          <w:p w14:paraId="3A104B8B">
            <w:pPr>
              <w:spacing w:after="0" w:line="252" w:lineRule="auto"/>
              <w:rPr>
                <w:rFonts w:hint="eastAsia"/>
                <w:sz w:val="24"/>
                <w:szCs w:val="24"/>
              </w:rPr>
            </w:pPr>
            <w:r>
              <w:rPr>
                <w:b/>
                <w:color w:val="FFFFFF"/>
                <w:sz w:val="24"/>
                <w:szCs w:val="24"/>
              </w:rPr>
              <w:t>具体案情提炼</w:t>
            </w:r>
          </w:p>
        </w:tc>
        <w:tc>
          <w:tcPr>
            <w:tcW w:w="3969" w:type="dxa"/>
            <w:shd w:val="clear" w:color="auto" w:fill="1F4E79"/>
            <w:vAlign w:val="center"/>
          </w:tcPr>
          <w:p w14:paraId="1E2ED429">
            <w:pPr>
              <w:spacing w:after="0" w:line="252" w:lineRule="auto"/>
              <w:rPr>
                <w:rFonts w:hint="eastAsia"/>
                <w:sz w:val="24"/>
                <w:szCs w:val="24"/>
              </w:rPr>
            </w:pPr>
            <w:r>
              <w:rPr>
                <w:b/>
                <w:color w:val="FFFFFF"/>
                <w:sz w:val="24"/>
                <w:szCs w:val="24"/>
              </w:rPr>
              <w:t>涉案法条/规范</w:t>
            </w:r>
          </w:p>
        </w:tc>
        <w:tc>
          <w:tcPr>
            <w:tcW w:w="4536" w:type="dxa"/>
            <w:shd w:val="clear" w:color="auto" w:fill="1F4E79"/>
            <w:vAlign w:val="center"/>
          </w:tcPr>
          <w:p w14:paraId="058DF95F">
            <w:pPr>
              <w:spacing w:after="0" w:line="252" w:lineRule="auto"/>
              <w:rPr>
                <w:rFonts w:hint="eastAsia"/>
                <w:sz w:val="24"/>
                <w:szCs w:val="24"/>
              </w:rPr>
            </w:pPr>
            <w:r>
              <w:rPr>
                <w:b/>
                <w:color w:val="FFFFFF"/>
                <w:sz w:val="24"/>
                <w:szCs w:val="24"/>
              </w:rPr>
              <w:t>案例分析/合规启示</w:t>
            </w:r>
          </w:p>
        </w:tc>
      </w:tr>
      <w:tr w14:paraId="3B7439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83BCA26">
            <w:pPr>
              <w:spacing w:after="0" w:line="252" w:lineRule="auto"/>
              <w:rPr>
                <w:rFonts w:hint="eastAsia"/>
                <w:sz w:val="24"/>
                <w:szCs w:val="24"/>
                <w:lang w:eastAsia="zh-CN"/>
              </w:rPr>
            </w:pPr>
            <w:r>
              <w:rPr>
                <w:sz w:val="24"/>
                <w:szCs w:val="24"/>
                <w:lang w:eastAsia="zh-CN"/>
              </w:rPr>
              <w:t>1. 儿童短视频平台默认开启个性化推荐案</w:t>
            </w:r>
          </w:p>
        </w:tc>
        <w:tc>
          <w:tcPr>
            <w:tcW w:w="4762" w:type="dxa"/>
            <w:vAlign w:val="center"/>
          </w:tcPr>
          <w:p w14:paraId="58C6FFED">
            <w:pPr>
              <w:spacing w:after="0" w:line="252" w:lineRule="auto"/>
              <w:rPr>
                <w:rFonts w:hint="eastAsia"/>
                <w:sz w:val="24"/>
                <w:szCs w:val="24"/>
                <w:lang w:eastAsia="zh-CN"/>
              </w:rPr>
            </w:pPr>
            <w:r>
              <w:rPr>
                <w:sz w:val="24"/>
                <w:szCs w:val="24"/>
                <w:lang w:eastAsia="zh-CN"/>
              </w:rPr>
              <w:t>全国首例儿童个人信息、网络安全保护民事公益诉讼中，短视频平台针对儿童用户默认开启个性化推荐或算法推送，涉及儿童观看记录、兴趣标签、互动行为等数据处理。</w:t>
            </w:r>
          </w:p>
        </w:tc>
        <w:tc>
          <w:tcPr>
            <w:tcW w:w="3969" w:type="dxa"/>
            <w:vAlign w:val="center"/>
          </w:tcPr>
          <w:p w14:paraId="6555050E">
            <w:pPr>
              <w:spacing w:after="0" w:line="252" w:lineRule="auto"/>
              <w:rPr>
                <w:rFonts w:hint="eastAsia"/>
                <w:sz w:val="24"/>
                <w:szCs w:val="24"/>
                <w:lang w:eastAsia="zh-CN"/>
              </w:rPr>
            </w:pPr>
            <w:r>
              <w:rPr>
                <w:sz w:val="24"/>
                <w:szCs w:val="24"/>
                <w:lang w:eastAsia="zh-CN"/>
              </w:rPr>
              <w:t>《个人信息保护法》第24条、第28条、第31条；《未成年人保护法》第72条、第77条；《儿童个人信息网络保护规定》；《互联网信息服务算法推荐管理规定》。</w:t>
            </w:r>
          </w:p>
        </w:tc>
        <w:tc>
          <w:tcPr>
            <w:tcW w:w="4536" w:type="dxa"/>
            <w:vAlign w:val="center"/>
          </w:tcPr>
          <w:p w14:paraId="09AFE1C0">
            <w:pPr>
              <w:spacing w:after="0" w:line="252" w:lineRule="auto"/>
              <w:rPr>
                <w:rFonts w:hint="eastAsia"/>
                <w:sz w:val="24"/>
                <w:szCs w:val="24"/>
                <w:lang w:eastAsia="zh-CN"/>
              </w:rPr>
            </w:pPr>
            <w:r>
              <w:rPr>
                <w:sz w:val="24"/>
                <w:szCs w:val="24"/>
                <w:lang w:eastAsia="zh-CN"/>
              </w:rPr>
              <w:t>儿童个人信息保护不仅包括实名信息，也包括观看记录、兴趣标签、持久标识符和推荐画像。平台应默认更高保护标准，提供关闭推荐和监护人管理机制。</w:t>
            </w:r>
          </w:p>
        </w:tc>
      </w:tr>
      <w:tr w14:paraId="4A1E4B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74C6FB70">
            <w:pPr>
              <w:spacing w:after="0" w:line="252" w:lineRule="auto"/>
              <w:rPr>
                <w:rFonts w:hint="eastAsia"/>
                <w:sz w:val="24"/>
                <w:szCs w:val="24"/>
              </w:rPr>
            </w:pPr>
            <w:r>
              <w:rPr>
                <w:sz w:val="24"/>
                <w:szCs w:val="24"/>
              </w:rPr>
              <w:t>2. Epic Games/Fortnite 违反儿童隐私与默认设置保护义务案</w:t>
            </w:r>
          </w:p>
        </w:tc>
        <w:tc>
          <w:tcPr>
            <w:tcW w:w="4762" w:type="dxa"/>
            <w:shd w:val="clear" w:color="auto" w:fill="F7F7F7"/>
            <w:vAlign w:val="center"/>
          </w:tcPr>
          <w:p w14:paraId="10A8E7EF">
            <w:pPr>
              <w:spacing w:after="0" w:line="252" w:lineRule="auto"/>
              <w:rPr>
                <w:rFonts w:hint="eastAsia"/>
                <w:sz w:val="24"/>
                <w:szCs w:val="24"/>
              </w:rPr>
            </w:pPr>
            <w:r>
              <w:rPr>
                <w:sz w:val="24"/>
                <w:szCs w:val="24"/>
              </w:rPr>
              <w:t>Epic Games 因 Fortnite 儿童和青少年用户隐私、默认语音/文本通信设置、深色模式诱导消费等问题被美国 FTC 处罚。</w:t>
            </w:r>
          </w:p>
        </w:tc>
        <w:tc>
          <w:tcPr>
            <w:tcW w:w="3969" w:type="dxa"/>
            <w:shd w:val="clear" w:color="auto" w:fill="F7F7F7"/>
            <w:vAlign w:val="center"/>
          </w:tcPr>
          <w:p w14:paraId="3AD67332">
            <w:pPr>
              <w:spacing w:after="0" w:line="252" w:lineRule="auto"/>
              <w:rPr>
                <w:rFonts w:hint="eastAsia"/>
                <w:sz w:val="24"/>
                <w:szCs w:val="24"/>
                <w:lang w:eastAsia="zh-CN"/>
              </w:rPr>
            </w:pPr>
            <w:r>
              <w:rPr>
                <w:sz w:val="24"/>
                <w:szCs w:val="24"/>
                <w:lang w:eastAsia="zh-CN"/>
              </w:rPr>
              <w:t>美国 COPPA、《联邦贸易委员会法》第5条；对应我国《个人信息保护法》第31条、《未成年人保护法》第72条、第74条、第77条。</w:t>
            </w:r>
          </w:p>
        </w:tc>
        <w:tc>
          <w:tcPr>
            <w:tcW w:w="4536" w:type="dxa"/>
            <w:shd w:val="clear" w:color="auto" w:fill="F7F7F7"/>
            <w:vAlign w:val="center"/>
          </w:tcPr>
          <w:p w14:paraId="500E27EB">
            <w:pPr>
              <w:spacing w:after="0" w:line="252" w:lineRule="auto"/>
              <w:rPr>
                <w:rFonts w:hint="eastAsia"/>
                <w:sz w:val="24"/>
                <w:szCs w:val="24"/>
                <w:lang w:eastAsia="zh-CN"/>
              </w:rPr>
            </w:pPr>
            <w:r>
              <w:rPr>
                <w:sz w:val="24"/>
                <w:szCs w:val="24"/>
                <w:lang w:eastAsia="zh-CN"/>
              </w:rPr>
              <w:t>游戏平台应采用儿童友好默认设置，避免默认公开通信、过度收集和诱导性界面设计。未成年人保护应覆盖账号、聊天、消费和推荐系统。</w:t>
            </w:r>
          </w:p>
        </w:tc>
      </w:tr>
      <w:tr w14:paraId="148F31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748DAA7">
            <w:pPr>
              <w:spacing w:after="0" w:line="252" w:lineRule="auto"/>
              <w:rPr>
                <w:rFonts w:hint="eastAsia"/>
                <w:sz w:val="24"/>
                <w:szCs w:val="24"/>
              </w:rPr>
            </w:pPr>
            <w:r>
              <w:rPr>
                <w:sz w:val="24"/>
                <w:szCs w:val="24"/>
              </w:rPr>
              <w:t>3. Musical.ly/TikTok 儿童个人信息收集案</w:t>
            </w:r>
          </w:p>
        </w:tc>
        <w:tc>
          <w:tcPr>
            <w:tcW w:w="4762" w:type="dxa"/>
            <w:vAlign w:val="center"/>
          </w:tcPr>
          <w:p w14:paraId="10F8E6C1">
            <w:pPr>
              <w:spacing w:after="0" w:line="252" w:lineRule="auto"/>
              <w:rPr>
                <w:rFonts w:hint="eastAsia"/>
                <w:sz w:val="24"/>
                <w:szCs w:val="24"/>
              </w:rPr>
            </w:pPr>
            <w:r>
              <w:rPr>
                <w:sz w:val="24"/>
                <w:szCs w:val="24"/>
              </w:rPr>
              <w:t>Musical.ly（后并入 TikTok）因收集儿童姓名、邮箱、头像、视频等信息且未充分取得父母同意，被 FTC 处理。</w:t>
            </w:r>
          </w:p>
        </w:tc>
        <w:tc>
          <w:tcPr>
            <w:tcW w:w="3969" w:type="dxa"/>
            <w:vAlign w:val="center"/>
          </w:tcPr>
          <w:p w14:paraId="37B9226D">
            <w:pPr>
              <w:spacing w:after="0" w:line="252" w:lineRule="auto"/>
              <w:rPr>
                <w:rFonts w:hint="eastAsia"/>
                <w:sz w:val="24"/>
                <w:szCs w:val="24"/>
                <w:lang w:eastAsia="zh-CN"/>
              </w:rPr>
            </w:pPr>
            <w:r>
              <w:rPr>
                <w:sz w:val="24"/>
                <w:szCs w:val="24"/>
                <w:lang w:eastAsia="zh-CN"/>
              </w:rPr>
              <w:t>美国 COPPA；对应我国《个人信息保护法》第31条、《儿童个人信息网络保护规定》第7条、第9条、第10条。</w:t>
            </w:r>
          </w:p>
        </w:tc>
        <w:tc>
          <w:tcPr>
            <w:tcW w:w="4536" w:type="dxa"/>
            <w:vAlign w:val="center"/>
          </w:tcPr>
          <w:p w14:paraId="546A7ECC">
            <w:pPr>
              <w:spacing w:after="0" w:line="252" w:lineRule="auto"/>
              <w:rPr>
                <w:rFonts w:hint="eastAsia"/>
                <w:sz w:val="24"/>
                <w:szCs w:val="24"/>
                <w:lang w:eastAsia="zh-CN"/>
              </w:rPr>
            </w:pPr>
            <w:r>
              <w:rPr>
                <w:sz w:val="24"/>
                <w:szCs w:val="24"/>
                <w:lang w:eastAsia="zh-CN"/>
              </w:rPr>
              <w:t>平台不能以社交娱乐属性弱化儿童同意机制。涉及儿童公开视频、互动和账号资料时，应建立年龄识别、监护人同意、删除和最小化处理机制。</w:t>
            </w:r>
          </w:p>
        </w:tc>
      </w:tr>
      <w:tr w14:paraId="5B92DE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54736956">
            <w:pPr>
              <w:spacing w:after="0" w:line="252" w:lineRule="auto"/>
              <w:rPr>
                <w:rFonts w:hint="eastAsia"/>
                <w:sz w:val="24"/>
                <w:szCs w:val="24"/>
              </w:rPr>
            </w:pPr>
            <w:r>
              <w:rPr>
                <w:sz w:val="24"/>
                <w:szCs w:val="24"/>
              </w:rPr>
              <w:t>4. Google/YouTube 儿童定向内容持久标识符收集案</w:t>
            </w:r>
          </w:p>
        </w:tc>
        <w:tc>
          <w:tcPr>
            <w:tcW w:w="4762" w:type="dxa"/>
            <w:shd w:val="clear" w:color="auto" w:fill="F7F7F7"/>
            <w:vAlign w:val="center"/>
          </w:tcPr>
          <w:p w14:paraId="6A9CEDFE">
            <w:pPr>
              <w:spacing w:after="0" w:line="252" w:lineRule="auto"/>
              <w:rPr>
                <w:rFonts w:hint="eastAsia"/>
                <w:sz w:val="24"/>
                <w:szCs w:val="24"/>
                <w:lang w:eastAsia="zh-CN"/>
              </w:rPr>
            </w:pPr>
            <w:r>
              <w:rPr>
                <w:sz w:val="24"/>
                <w:szCs w:val="24"/>
                <w:lang w:eastAsia="zh-CN"/>
              </w:rPr>
              <w:t>Google/YouTube 被指在面向儿童的频道或内容中收集持久标识符，用于定向广告，虽不一定知道儿童真实姓名，但可持续识别和画像儿童用户。</w:t>
            </w:r>
          </w:p>
        </w:tc>
        <w:tc>
          <w:tcPr>
            <w:tcW w:w="3969" w:type="dxa"/>
            <w:shd w:val="clear" w:color="auto" w:fill="F7F7F7"/>
            <w:vAlign w:val="center"/>
          </w:tcPr>
          <w:p w14:paraId="21631CBD">
            <w:pPr>
              <w:spacing w:after="0" w:line="252" w:lineRule="auto"/>
              <w:rPr>
                <w:rFonts w:hint="eastAsia"/>
                <w:sz w:val="24"/>
                <w:szCs w:val="24"/>
                <w:lang w:eastAsia="zh-CN"/>
              </w:rPr>
            </w:pPr>
            <w:r>
              <w:rPr>
                <w:sz w:val="24"/>
                <w:szCs w:val="24"/>
                <w:lang w:eastAsia="zh-CN"/>
              </w:rPr>
              <w:t>美国 COPPA；对应我国《个人信息保护法》第24条、第28条、第31条，《未成年人保护法》第72条、第77条。</w:t>
            </w:r>
          </w:p>
        </w:tc>
        <w:tc>
          <w:tcPr>
            <w:tcW w:w="4536" w:type="dxa"/>
            <w:shd w:val="clear" w:color="auto" w:fill="F7F7F7"/>
            <w:vAlign w:val="center"/>
          </w:tcPr>
          <w:p w14:paraId="725254FA">
            <w:pPr>
              <w:spacing w:after="0" w:line="252" w:lineRule="auto"/>
              <w:rPr>
                <w:rFonts w:hint="eastAsia"/>
                <w:sz w:val="24"/>
                <w:szCs w:val="24"/>
                <w:lang w:eastAsia="zh-CN"/>
              </w:rPr>
            </w:pPr>
            <w:r>
              <w:rPr>
                <w:sz w:val="24"/>
                <w:szCs w:val="24"/>
                <w:lang w:eastAsia="zh-CN"/>
              </w:rPr>
              <w:t>儿童个人信息包括可用于持续识别的设备标识、Cookie、广告 ID 和浏览行为。平台不得将儿童观看数据纳入普通商业广告画像。</w:t>
            </w:r>
          </w:p>
        </w:tc>
      </w:tr>
    </w:tbl>
    <w:p w14:paraId="2C651897">
      <w:pPr>
        <w:rPr>
          <w:rFonts w:hint="eastAsia"/>
          <w:sz w:val="24"/>
          <w:szCs w:val="24"/>
          <w:lang w:eastAsia="zh-CN"/>
        </w:rPr>
      </w:pPr>
      <w:r>
        <w:rPr>
          <w:sz w:val="24"/>
          <w:szCs w:val="24"/>
          <w:lang w:eastAsia="zh-CN"/>
        </w:rPr>
        <w:br w:type="page"/>
      </w:r>
    </w:p>
    <w:p w14:paraId="3D6D1C71">
      <w:pPr>
        <w:pStyle w:val="165"/>
        <w:spacing w:after="80"/>
        <w:rPr>
          <w:rFonts w:hint="eastAsia"/>
          <w:color w:val="auto"/>
          <w:sz w:val="24"/>
          <w:szCs w:val="24"/>
          <w:lang w:eastAsia="zh-CN"/>
        </w:rPr>
      </w:pPr>
      <w:r>
        <w:rPr>
          <w:rFonts w:hint="eastAsia"/>
          <w:b w:val="0"/>
          <w:color w:val="auto"/>
          <w:sz w:val="24"/>
          <w:szCs w:val="24"/>
          <w:lang w:eastAsia="zh-CN"/>
        </w:rPr>
        <w:t>6</w:t>
      </w:r>
      <w:r>
        <w:rPr>
          <w:b w:val="0"/>
          <w:color w:val="auto"/>
          <w:sz w:val="24"/>
          <w:szCs w:val="24"/>
          <w:lang w:eastAsia="zh-CN"/>
        </w:rPr>
        <w:t>、AI 时代一体化数字营销、画像与广告推荐场景</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4762"/>
        <w:gridCol w:w="3969"/>
        <w:gridCol w:w="4536"/>
      </w:tblGrid>
      <w:tr w14:paraId="4814AD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tcW w:w="2268" w:type="dxa"/>
            <w:shd w:val="clear" w:color="auto" w:fill="1F4E79"/>
            <w:vAlign w:val="center"/>
          </w:tcPr>
          <w:p w14:paraId="0C1BEB1C">
            <w:pPr>
              <w:spacing w:after="0" w:line="252" w:lineRule="auto"/>
              <w:rPr>
                <w:rFonts w:hint="eastAsia"/>
                <w:sz w:val="24"/>
                <w:szCs w:val="24"/>
              </w:rPr>
            </w:pPr>
            <w:r>
              <w:rPr>
                <w:b/>
                <w:color w:val="FFFFFF"/>
                <w:sz w:val="24"/>
                <w:szCs w:val="24"/>
              </w:rPr>
              <w:t>案例名称</w:t>
            </w:r>
          </w:p>
        </w:tc>
        <w:tc>
          <w:tcPr>
            <w:tcW w:w="4762" w:type="dxa"/>
            <w:shd w:val="clear" w:color="auto" w:fill="1F4E79"/>
            <w:vAlign w:val="center"/>
          </w:tcPr>
          <w:p w14:paraId="26173CDB">
            <w:pPr>
              <w:spacing w:after="0" w:line="252" w:lineRule="auto"/>
              <w:rPr>
                <w:rFonts w:hint="eastAsia"/>
                <w:sz w:val="24"/>
                <w:szCs w:val="24"/>
              </w:rPr>
            </w:pPr>
            <w:r>
              <w:rPr>
                <w:b/>
                <w:color w:val="FFFFFF"/>
                <w:sz w:val="24"/>
                <w:szCs w:val="24"/>
              </w:rPr>
              <w:t>具体案情提炼</w:t>
            </w:r>
          </w:p>
        </w:tc>
        <w:tc>
          <w:tcPr>
            <w:tcW w:w="3969" w:type="dxa"/>
            <w:shd w:val="clear" w:color="auto" w:fill="1F4E79"/>
            <w:vAlign w:val="center"/>
          </w:tcPr>
          <w:p w14:paraId="6486736D">
            <w:pPr>
              <w:spacing w:after="0" w:line="252" w:lineRule="auto"/>
              <w:rPr>
                <w:rFonts w:hint="eastAsia"/>
                <w:sz w:val="24"/>
                <w:szCs w:val="24"/>
              </w:rPr>
            </w:pPr>
            <w:r>
              <w:rPr>
                <w:b/>
                <w:color w:val="FFFFFF"/>
                <w:sz w:val="24"/>
                <w:szCs w:val="24"/>
              </w:rPr>
              <w:t>涉案法条/规范</w:t>
            </w:r>
          </w:p>
        </w:tc>
        <w:tc>
          <w:tcPr>
            <w:tcW w:w="4536" w:type="dxa"/>
            <w:shd w:val="clear" w:color="auto" w:fill="1F4E79"/>
            <w:vAlign w:val="center"/>
          </w:tcPr>
          <w:p w14:paraId="1506FC95">
            <w:pPr>
              <w:spacing w:after="0" w:line="252" w:lineRule="auto"/>
              <w:rPr>
                <w:rFonts w:hint="eastAsia"/>
                <w:sz w:val="24"/>
                <w:szCs w:val="24"/>
              </w:rPr>
            </w:pPr>
            <w:r>
              <w:rPr>
                <w:b/>
                <w:color w:val="FFFFFF"/>
                <w:sz w:val="24"/>
                <w:szCs w:val="24"/>
              </w:rPr>
              <w:t>案例分析/合规启示</w:t>
            </w:r>
          </w:p>
        </w:tc>
      </w:tr>
      <w:tr w14:paraId="1691A5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C5AA5D8">
            <w:pPr>
              <w:spacing w:after="0" w:line="252" w:lineRule="auto"/>
              <w:rPr>
                <w:rFonts w:hint="eastAsia"/>
                <w:sz w:val="24"/>
                <w:szCs w:val="24"/>
                <w:lang w:eastAsia="zh-CN"/>
              </w:rPr>
            </w:pPr>
            <w:r>
              <w:rPr>
                <w:sz w:val="24"/>
                <w:szCs w:val="24"/>
                <w:lang w:eastAsia="zh-CN"/>
              </w:rPr>
              <w:t>1. App 强制收集用户画像并进行个性化推送案</w:t>
            </w:r>
          </w:p>
        </w:tc>
        <w:tc>
          <w:tcPr>
            <w:tcW w:w="4762" w:type="dxa"/>
            <w:vAlign w:val="center"/>
          </w:tcPr>
          <w:p w14:paraId="1C993C6B">
            <w:pPr>
              <w:spacing w:after="0" w:line="252" w:lineRule="auto"/>
              <w:rPr>
                <w:rFonts w:hint="eastAsia"/>
                <w:sz w:val="24"/>
                <w:szCs w:val="24"/>
                <w:lang w:eastAsia="zh-CN"/>
              </w:rPr>
            </w:pPr>
            <w:r>
              <w:rPr>
                <w:sz w:val="24"/>
                <w:szCs w:val="24"/>
                <w:lang w:eastAsia="zh-CN"/>
              </w:rPr>
              <w:t>罗某使用某软件时，平台要求填写职业、学习目的、英语水平、中英文名等信息后才能完成登录，无跳过或拒绝选项，并基于画像进行个性化推送、营销短信和关联软件共享。</w:t>
            </w:r>
          </w:p>
        </w:tc>
        <w:tc>
          <w:tcPr>
            <w:tcW w:w="3969" w:type="dxa"/>
            <w:vAlign w:val="center"/>
          </w:tcPr>
          <w:p w14:paraId="3DAF8C65">
            <w:pPr>
              <w:spacing w:after="0" w:line="252" w:lineRule="auto"/>
              <w:rPr>
                <w:rFonts w:hint="eastAsia"/>
                <w:sz w:val="24"/>
                <w:szCs w:val="24"/>
                <w:lang w:eastAsia="zh-CN"/>
              </w:rPr>
            </w:pPr>
            <w:r>
              <w:rPr>
                <w:sz w:val="24"/>
                <w:szCs w:val="24"/>
                <w:lang w:eastAsia="zh-CN"/>
              </w:rPr>
              <w:t>《个人信息保护法》第13条、第17条、第23条、第24条、第45条、第47条；《民法典》第1034条、第1035条、第1038条；《消费者权益保护法》第29条。</w:t>
            </w:r>
          </w:p>
        </w:tc>
        <w:tc>
          <w:tcPr>
            <w:tcW w:w="4536" w:type="dxa"/>
            <w:vAlign w:val="center"/>
          </w:tcPr>
          <w:p w14:paraId="12A9C906">
            <w:pPr>
              <w:spacing w:after="0" w:line="252" w:lineRule="auto"/>
              <w:rPr>
                <w:rFonts w:hint="eastAsia"/>
                <w:sz w:val="24"/>
                <w:szCs w:val="24"/>
                <w:lang w:eastAsia="zh-CN"/>
              </w:rPr>
            </w:pPr>
            <w:r>
              <w:rPr>
                <w:sz w:val="24"/>
                <w:szCs w:val="24"/>
                <w:lang w:eastAsia="zh-CN"/>
              </w:rPr>
              <w:t>法院认为用户画像信息并非履行合同所必需，未取得有效同意的强制收集和推荐构成侵权。个性化推荐应提供非个性化选项和便捷拒绝方式。</w:t>
            </w:r>
          </w:p>
        </w:tc>
      </w:tr>
      <w:tr w14:paraId="457EB7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6C945849">
            <w:pPr>
              <w:spacing w:after="0" w:line="252" w:lineRule="auto"/>
              <w:rPr>
                <w:rFonts w:hint="eastAsia"/>
                <w:sz w:val="24"/>
                <w:szCs w:val="24"/>
                <w:lang w:eastAsia="zh-CN"/>
              </w:rPr>
            </w:pPr>
            <w:r>
              <w:rPr>
                <w:sz w:val="24"/>
                <w:szCs w:val="24"/>
                <w:lang w:eastAsia="zh-CN"/>
              </w:rPr>
              <w:t>2. 电商平台与支付关联产品违规共享用户信息案</w:t>
            </w:r>
          </w:p>
        </w:tc>
        <w:tc>
          <w:tcPr>
            <w:tcW w:w="4762" w:type="dxa"/>
            <w:shd w:val="clear" w:color="auto" w:fill="F7F7F7"/>
            <w:vAlign w:val="center"/>
          </w:tcPr>
          <w:p w14:paraId="120BDC49">
            <w:pPr>
              <w:spacing w:after="0" w:line="252" w:lineRule="auto"/>
              <w:rPr>
                <w:rFonts w:hint="eastAsia"/>
                <w:sz w:val="24"/>
                <w:szCs w:val="24"/>
                <w:lang w:eastAsia="zh-CN"/>
              </w:rPr>
            </w:pPr>
            <w:r>
              <w:rPr>
                <w:sz w:val="24"/>
                <w:szCs w:val="24"/>
                <w:lang w:eastAsia="zh-CN"/>
              </w:rPr>
              <w:t>材料提到电商平台与支付、关联产品之间共享用户身份、交易、浏览、设备标识、偏好等数据，用于营销、风控、推荐或商业经营，但告知与单独同意不足。</w:t>
            </w:r>
          </w:p>
        </w:tc>
        <w:tc>
          <w:tcPr>
            <w:tcW w:w="3969" w:type="dxa"/>
            <w:shd w:val="clear" w:color="auto" w:fill="F7F7F7"/>
            <w:vAlign w:val="center"/>
          </w:tcPr>
          <w:p w14:paraId="6C0EA86B">
            <w:pPr>
              <w:spacing w:after="0" w:line="252" w:lineRule="auto"/>
              <w:rPr>
                <w:rFonts w:hint="eastAsia"/>
                <w:sz w:val="24"/>
                <w:szCs w:val="24"/>
                <w:lang w:eastAsia="zh-CN"/>
              </w:rPr>
            </w:pPr>
            <w:r>
              <w:rPr>
                <w:sz w:val="24"/>
                <w:szCs w:val="24"/>
                <w:lang w:eastAsia="zh-CN"/>
              </w:rPr>
              <w:t>《个人信息保护法》第13条、第17条、第21条、第23条、第24条、第51条；《电子商务法》第18条。</w:t>
            </w:r>
          </w:p>
        </w:tc>
        <w:tc>
          <w:tcPr>
            <w:tcW w:w="4536" w:type="dxa"/>
            <w:shd w:val="clear" w:color="auto" w:fill="F7F7F7"/>
            <w:vAlign w:val="center"/>
          </w:tcPr>
          <w:p w14:paraId="09601127">
            <w:pPr>
              <w:spacing w:after="0" w:line="252" w:lineRule="auto"/>
              <w:rPr>
                <w:rFonts w:hint="eastAsia"/>
                <w:sz w:val="24"/>
                <w:szCs w:val="24"/>
                <w:lang w:eastAsia="zh-CN"/>
              </w:rPr>
            </w:pPr>
            <w:r>
              <w:rPr>
                <w:sz w:val="24"/>
                <w:szCs w:val="24"/>
                <w:lang w:eastAsia="zh-CN"/>
              </w:rPr>
              <w:t>集团内部共享不当然等于同一处理目的。跨产品、跨主体、跨场景使用数据，应明确接收方、目的、种类和处理方式，并区分委托处理、共同处理和第三方提供。</w:t>
            </w:r>
          </w:p>
        </w:tc>
      </w:tr>
      <w:tr w14:paraId="2207E3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295065AF">
            <w:pPr>
              <w:spacing w:after="0" w:line="252" w:lineRule="auto"/>
              <w:rPr>
                <w:rFonts w:hint="eastAsia"/>
                <w:sz w:val="24"/>
                <w:szCs w:val="24"/>
                <w:lang w:eastAsia="zh-CN"/>
              </w:rPr>
            </w:pPr>
            <w:r>
              <w:rPr>
                <w:sz w:val="24"/>
                <w:szCs w:val="24"/>
                <w:lang w:eastAsia="zh-CN"/>
              </w:rPr>
              <w:t>3. AEO/GEO 恶性营销与 AI 语料投毒场景案</w:t>
            </w:r>
          </w:p>
        </w:tc>
        <w:tc>
          <w:tcPr>
            <w:tcW w:w="4762" w:type="dxa"/>
            <w:vAlign w:val="center"/>
          </w:tcPr>
          <w:p w14:paraId="0C59B92D">
            <w:pPr>
              <w:spacing w:after="0" w:line="252" w:lineRule="auto"/>
              <w:rPr>
                <w:rFonts w:hint="eastAsia"/>
                <w:sz w:val="24"/>
                <w:szCs w:val="24"/>
                <w:lang w:eastAsia="zh-CN"/>
              </w:rPr>
            </w:pPr>
            <w:r>
              <w:rPr>
                <w:sz w:val="24"/>
                <w:szCs w:val="24"/>
                <w:lang w:eastAsia="zh-CN"/>
              </w:rPr>
              <w:t>经营者通过伪造测评、批量生成内容、操纵搜索或 AI 助手语料，使 AI 输出倾向性推荐、贬损竞争对手或制造虚假口碑。材料将其作为 AI 流量入口下的恶性营销案例。</w:t>
            </w:r>
          </w:p>
        </w:tc>
        <w:tc>
          <w:tcPr>
            <w:tcW w:w="3969" w:type="dxa"/>
            <w:vAlign w:val="center"/>
          </w:tcPr>
          <w:p w14:paraId="6921BB94">
            <w:pPr>
              <w:spacing w:after="0" w:line="252" w:lineRule="auto"/>
              <w:rPr>
                <w:rFonts w:hint="eastAsia"/>
                <w:sz w:val="24"/>
                <w:szCs w:val="24"/>
                <w:lang w:eastAsia="zh-CN"/>
              </w:rPr>
            </w:pPr>
            <w:r>
              <w:rPr>
                <w:sz w:val="24"/>
                <w:szCs w:val="24"/>
                <w:lang w:eastAsia="zh-CN"/>
              </w:rPr>
              <w:t>《反不正当竞争法》第2条、第8条、第11条、第12条；《广告法》第4条、第28条；《互联网广告管理办法》；生成式人工智能服务相关管理规则。</w:t>
            </w:r>
          </w:p>
        </w:tc>
        <w:tc>
          <w:tcPr>
            <w:tcW w:w="4536" w:type="dxa"/>
            <w:vAlign w:val="center"/>
          </w:tcPr>
          <w:p w14:paraId="4E25FA80">
            <w:pPr>
              <w:spacing w:after="0" w:line="252" w:lineRule="auto"/>
              <w:rPr>
                <w:rFonts w:hint="eastAsia"/>
                <w:sz w:val="24"/>
                <w:szCs w:val="24"/>
                <w:lang w:eastAsia="zh-CN"/>
              </w:rPr>
            </w:pPr>
            <w:r>
              <w:rPr>
                <w:sz w:val="24"/>
                <w:szCs w:val="24"/>
                <w:lang w:eastAsia="zh-CN"/>
              </w:rPr>
              <w:t>AI 助手成为流量入口后，伪造语料本质仍是面向消费者和市场的商业表达。评价重点在于是否造成误认、损害竞争对手商誉、破坏公平竞争秩序。</w:t>
            </w:r>
          </w:p>
        </w:tc>
      </w:tr>
    </w:tbl>
    <w:p w14:paraId="23A61DE4">
      <w:pPr>
        <w:rPr>
          <w:rFonts w:hint="eastAsia"/>
          <w:sz w:val="24"/>
          <w:szCs w:val="24"/>
          <w:lang w:eastAsia="zh-CN"/>
        </w:rPr>
      </w:pPr>
      <w:r>
        <w:rPr>
          <w:sz w:val="24"/>
          <w:szCs w:val="24"/>
          <w:lang w:eastAsia="zh-CN"/>
        </w:rPr>
        <w:br w:type="page"/>
      </w:r>
    </w:p>
    <w:p w14:paraId="36D56F2C">
      <w:pPr>
        <w:pStyle w:val="165"/>
        <w:spacing w:after="80"/>
        <w:rPr>
          <w:rFonts w:hint="eastAsia"/>
          <w:color w:val="auto"/>
          <w:sz w:val="24"/>
          <w:szCs w:val="24"/>
          <w:lang w:eastAsia="zh-CN"/>
        </w:rPr>
      </w:pPr>
      <w:r>
        <w:rPr>
          <w:rFonts w:hint="eastAsia"/>
          <w:b w:val="0"/>
          <w:color w:val="auto"/>
          <w:sz w:val="24"/>
          <w:szCs w:val="24"/>
          <w:lang w:eastAsia="zh-CN"/>
        </w:rPr>
        <w:t>7</w:t>
      </w:r>
      <w:r>
        <w:rPr>
          <w:b w:val="0"/>
          <w:color w:val="auto"/>
          <w:sz w:val="24"/>
          <w:szCs w:val="24"/>
          <w:lang w:eastAsia="zh-CN"/>
        </w:rPr>
        <w:t>、AIGC 竞争法保护与反垄断治理场景</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4762"/>
        <w:gridCol w:w="3969"/>
        <w:gridCol w:w="4536"/>
      </w:tblGrid>
      <w:tr w14:paraId="39A24F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tcW w:w="2268" w:type="dxa"/>
            <w:shd w:val="clear" w:color="auto" w:fill="1F4E79"/>
            <w:vAlign w:val="center"/>
          </w:tcPr>
          <w:p w14:paraId="44BAADA3">
            <w:pPr>
              <w:spacing w:after="0" w:line="252" w:lineRule="auto"/>
              <w:rPr>
                <w:rFonts w:hint="eastAsia"/>
                <w:sz w:val="24"/>
                <w:szCs w:val="24"/>
              </w:rPr>
            </w:pPr>
            <w:r>
              <w:rPr>
                <w:b/>
                <w:color w:val="FFFFFF"/>
                <w:sz w:val="24"/>
                <w:szCs w:val="24"/>
              </w:rPr>
              <w:t>案例名称</w:t>
            </w:r>
          </w:p>
        </w:tc>
        <w:tc>
          <w:tcPr>
            <w:tcW w:w="4762" w:type="dxa"/>
            <w:shd w:val="clear" w:color="auto" w:fill="1F4E79"/>
            <w:vAlign w:val="center"/>
          </w:tcPr>
          <w:p w14:paraId="48A4156A">
            <w:pPr>
              <w:spacing w:after="0" w:line="252" w:lineRule="auto"/>
              <w:rPr>
                <w:rFonts w:hint="eastAsia"/>
                <w:sz w:val="24"/>
                <w:szCs w:val="24"/>
              </w:rPr>
            </w:pPr>
            <w:r>
              <w:rPr>
                <w:b/>
                <w:color w:val="FFFFFF"/>
                <w:sz w:val="24"/>
                <w:szCs w:val="24"/>
              </w:rPr>
              <w:t>具体案情提炼</w:t>
            </w:r>
          </w:p>
        </w:tc>
        <w:tc>
          <w:tcPr>
            <w:tcW w:w="3969" w:type="dxa"/>
            <w:shd w:val="clear" w:color="auto" w:fill="1F4E79"/>
            <w:vAlign w:val="center"/>
          </w:tcPr>
          <w:p w14:paraId="59D65D1F">
            <w:pPr>
              <w:spacing w:after="0" w:line="252" w:lineRule="auto"/>
              <w:rPr>
                <w:rFonts w:hint="eastAsia"/>
                <w:sz w:val="24"/>
                <w:szCs w:val="24"/>
              </w:rPr>
            </w:pPr>
            <w:r>
              <w:rPr>
                <w:b/>
                <w:color w:val="FFFFFF"/>
                <w:sz w:val="24"/>
                <w:szCs w:val="24"/>
              </w:rPr>
              <w:t>涉案法条/规范</w:t>
            </w:r>
          </w:p>
        </w:tc>
        <w:tc>
          <w:tcPr>
            <w:tcW w:w="4536" w:type="dxa"/>
            <w:shd w:val="clear" w:color="auto" w:fill="1F4E79"/>
            <w:vAlign w:val="center"/>
          </w:tcPr>
          <w:p w14:paraId="0FBF5165">
            <w:pPr>
              <w:spacing w:after="0" w:line="252" w:lineRule="auto"/>
              <w:rPr>
                <w:rFonts w:hint="eastAsia"/>
                <w:sz w:val="24"/>
                <w:szCs w:val="24"/>
              </w:rPr>
            </w:pPr>
            <w:r>
              <w:rPr>
                <w:b/>
                <w:color w:val="FFFFFF"/>
                <w:sz w:val="24"/>
                <w:szCs w:val="24"/>
              </w:rPr>
              <w:t>案例分析/合规启示</w:t>
            </w:r>
          </w:p>
        </w:tc>
      </w:tr>
      <w:tr w14:paraId="6BA545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22C0A5BB">
            <w:pPr>
              <w:spacing w:after="0" w:line="252" w:lineRule="auto"/>
              <w:rPr>
                <w:rFonts w:hint="eastAsia"/>
                <w:sz w:val="24"/>
                <w:szCs w:val="24"/>
                <w:lang w:eastAsia="zh-CN"/>
              </w:rPr>
            </w:pPr>
            <w:r>
              <w:rPr>
                <w:sz w:val="24"/>
                <w:szCs w:val="24"/>
                <w:lang w:eastAsia="zh-CN"/>
              </w:rPr>
              <w:t>1. 抖音诉亿睿科 AI 模型侵权案</w:t>
            </w:r>
          </w:p>
        </w:tc>
        <w:tc>
          <w:tcPr>
            <w:tcW w:w="4762" w:type="dxa"/>
            <w:vAlign w:val="center"/>
          </w:tcPr>
          <w:p w14:paraId="53A2CD40">
            <w:pPr>
              <w:spacing w:after="0" w:line="252" w:lineRule="auto"/>
              <w:rPr>
                <w:rFonts w:hint="eastAsia"/>
                <w:sz w:val="24"/>
                <w:szCs w:val="24"/>
                <w:lang w:eastAsia="zh-CN"/>
              </w:rPr>
            </w:pPr>
            <w:r>
              <w:rPr>
                <w:sz w:val="24"/>
                <w:szCs w:val="24"/>
                <w:lang w:eastAsia="zh-CN"/>
              </w:rPr>
              <w:t>抖音上线“变身漫画特效”后，亿睿科在 B612 咔叽上线“少女漫画特效”。技术比对显示两款特效在网络结构、非相邻子网络连接、卷积层层数等方面高度一致，36 个卷积层中 33 个数据完全一致，相似比例约 91.7%。</w:t>
            </w:r>
          </w:p>
        </w:tc>
        <w:tc>
          <w:tcPr>
            <w:tcW w:w="3969" w:type="dxa"/>
            <w:vAlign w:val="center"/>
          </w:tcPr>
          <w:p w14:paraId="27A8F3AF">
            <w:pPr>
              <w:spacing w:after="0" w:line="252" w:lineRule="auto"/>
              <w:rPr>
                <w:rFonts w:hint="eastAsia"/>
                <w:sz w:val="24"/>
                <w:szCs w:val="24"/>
                <w:lang w:eastAsia="zh-CN"/>
              </w:rPr>
            </w:pPr>
            <w:r>
              <w:rPr>
                <w:sz w:val="24"/>
                <w:szCs w:val="24"/>
                <w:lang w:eastAsia="zh-CN"/>
              </w:rPr>
              <w:t>《反不正当竞争法》第2条、第17条；《最高人民法院关于适用〈反不正当竞争法〉若干问题的解释》第1条；《著作权法》第3条及实施条例相关规则。</w:t>
            </w:r>
          </w:p>
        </w:tc>
        <w:tc>
          <w:tcPr>
            <w:tcW w:w="4536" w:type="dxa"/>
            <w:vAlign w:val="center"/>
          </w:tcPr>
          <w:p w14:paraId="1799357A">
            <w:pPr>
              <w:spacing w:after="0" w:line="252" w:lineRule="auto"/>
              <w:rPr>
                <w:rFonts w:hint="eastAsia"/>
                <w:sz w:val="24"/>
                <w:szCs w:val="24"/>
                <w:lang w:eastAsia="zh-CN"/>
              </w:rPr>
            </w:pPr>
            <w:r>
              <w:rPr>
                <w:sz w:val="24"/>
                <w:szCs w:val="24"/>
                <w:lang w:eastAsia="zh-CN"/>
              </w:rPr>
              <w:t>法院未以著作权保护为核心，而是将模型结构与参数作为凝结研发投入、训练数据和调优成果的竞争性经营利益，通过反不正当竞争法一般条款予以评价。</w:t>
            </w:r>
          </w:p>
        </w:tc>
      </w:tr>
      <w:tr w14:paraId="7D5EF0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3E78E001">
            <w:pPr>
              <w:spacing w:after="0" w:line="252" w:lineRule="auto"/>
              <w:rPr>
                <w:rFonts w:hint="eastAsia"/>
                <w:sz w:val="24"/>
                <w:szCs w:val="24"/>
                <w:lang w:eastAsia="zh-CN"/>
              </w:rPr>
            </w:pPr>
            <w:r>
              <w:rPr>
                <w:sz w:val="24"/>
                <w:szCs w:val="24"/>
                <w:lang w:eastAsia="zh-CN"/>
              </w:rPr>
              <w:t>2. AI 生成虚假测评不正当竞争案</w:t>
            </w:r>
          </w:p>
        </w:tc>
        <w:tc>
          <w:tcPr>
            <w:tcW w:w="4762" w:type="dxa"/>
            <w:shd w:val="clear" w:color="auto" w:fill="F7F7F7"/>
            <w:vAlign w:val="center"/>
          </w:tcPr>
          <w:p w14:paraId="3E365BB5">
            <w:pPr>
              <w:spacing w:after="0" w:line="252" w:lineRule="auto"/>
              <w:rPr>
                <w:rFonts w:hint="eastAsia"/>
                <w:sz w:val="24"/>
                <w:szCs w:val="24"/>
                <w:lang w:eastAsia="zh-CN"/>
              </w:rPr>
            </w:pPr>
            <w:r>
              <w:rPr>
                <w:sz w:val="24"/>
                <w:szCs w:val="24"/>
                <w:lang w:eastAsia="zh-CN"/>
              </w:rPr>
              <w:t>经营者利用 AI 批量生成缺乏真实体验的测评、种草、对比文章或短视频，为自身引流并影响消费者判断，可能同时伴随虚假宣传、商业诋毁和流量劫持。</w:t>
            </w:r>
          </w:p>
        </w:tc>
        <w:tc>
          <w:tcPr>
            <w:tcW w:w="3969" w:type="dxa"/>
            <w:shd w:val="clear" w:color="auto" w:fill="F7F7F7"/>
            <w:vAlign w:val="center"/>
          </w:tcPr>
          <w:p w14:paraId="46690452">
            <w:pPr>
              <w:spacing w:after="0" w:line="252" w:lineRule="auto"/>
              <w:rPr>
                <w:rFonts w:hint="eastAsia"/>
                <w:sz w:val="24"/>
                <w:szCs w:val="24"/>
                <w:lang w:eastAsia="zh-CN"/>
              </w:rPr>
            </w:pPr>
            <w:r>
              <w:rPr>
                <w:sz w:val="24"/>
                <w:szCs w:val="24"/>
                <w:lang w:eastAsia="zh-CN"/>
              </w:rPr>
              <w:t>《反不正当竞争法》第2条、第8条、第11条；《广告法》第4条、第28条；《电子商务法》第17条；生成式人工智能服务相关管理规则。</w:t>
            </w:r>
          </w:p>
        </w:tc>
        <w:tc>
          <w:tcPr>
            <w:tcW w:w="4536" w:type="dxa"/>
            <w:shd w:val="clear" w:color="auto" w:fill="F7F7F7"/>
            <w:vAlign w:val="center"/>
          </w:tcPr>
          <w:p w14:paraId="45D7A843">
            <w:pPr>
              <w:spacing w:after="0" w:line="252" w:lineRule="auto"/>
              <w:rPr>
                <w:rFonts w:hint="eastAsia"/>
                <w:sz w:val="24"/>
                <w:szCs w:val="24"/>
                <w:lang w:eastAsia="zh-CN"/>
              </w:rPr>
            </w:pPr>
            <w:r>
              <w:rPr>
                <w:sz w:val="24"/>
                <w:szCs w:val="24"/>
                <w:lang w:eastAsia="zh-CN"/>
              </w:rPr>
              <w:t>技术中立不等于免责。经营者选择、发布、利用 AI 内容进行市场竞争，应保证测评真实、来源透明，不得伪装普通用户体验或抹黑竞争对手。</w:t>
            </w:r>
          </w:p>
        </w:tc>
      </w:tr>
      <w:tr w14:paraId="7B0399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E3B4B03">
            <w:pPr>
              <w:spacing w:after="0" w:line="252" w:lineRule="auto"/>
              <w:rPr>
                <w:rFonts w:hint="eastAsia"/>
                <w:sz w:val="24"/>
                <w:szCs w:val="24"/>
                <w:lang w:eastAsia="zh-CN"/>
              </w:rPr>
            </w:pPr>
            <w:r>
              <w:rPr>
                <w:sz w:val="24"/>
                <w:szCs w:val="24"/>
                <w:lang w:eastAsia="zh-CN"/>
              </w:rPr>
              <w:t>3. xAI、X 平台诉苹果公司、OpenAI 排他合作反垄断诉讼</w:t>
            </w:r>
          </w:p>
        </w:tc>
        <w:tc>
          <w:tcPr>
            <w:tcW w:w="4762" w:type="dxa"/>
            <w:vAlign w:val="center"/>
          </w:tcPr>
          <w:p w14:paraId="03B986D6">
            <w:pPr>
              <w:spacing w:after="0" w:line="252" w:lineRule="auto"/>
              <w:rPr>
                <w:rFonts w:hint="eastAsia"/>
                <w:sz w:val="24"/>
                <w:szCs w:val="24"/>
              </w:rPr>
            </w:pPr>
            <w:r>
              <w:rPr>
                <w:sz w:val="24"/>
                <w:szCs w:val="24"/>
                <w:lang w:eastAsia="zh-CN"/>
              </w:rPr>
              <w:t>材料载明，xAI 与 X 平台围绕苹果与 OpenAI 的合作提出反垄断相关主张，认为平台入口、操作系统、AI 助手或应用分发中的排他安排可能限制竞争。</w:t>
            </w:r>
            <w:r>
              <w:rPr>
                <w:sz w:val="24"/>
                <w:szCs w:val="24"/>
              </w:rPr>
              <w:t>该项属于未决或争议型案例。</w:t>
            </w:r>
          </w:p>
        </w:tc>
        <w:tc>
          <w:tcPr>
            <w:tcW w:w="3969" w:type="dxa"/>
            <w:vAlign w:val="center"/>
          </w:tcPr>
          <w:p w14:paraId="7F7683EC">
            <w:pPr>
              <w:spacing w:after="0" w:line="252" w:lineRule="auto"/>
              <w:rPr>
                <w:rFonts w:hint="eastAsia"/>
                <w:sz w:val="24"/>
                <w:szCs w:val="24"/>
                <w:lang w:eastAsia="zh-CN"/>
              </w:rPr>
            </w:pPr>
            <w:r>
              <w:rPr>
                <w:sz w:val="24"/>
                <w:szCs w:val="24"/>
                <w:lang w:eastAsia="zh-CN"/>
              </w:rPr>
              <w:t>美国《谢尔曼法》第1条、第2条，《克莱顿法》第8条，德州反垄断法相关条款；对应我国《反垄断法》关于滥用市场支配地位、限定交易和排除限制竞争规则。</w:t>
            </w:r>
          </w:p>
        </w:tc>
        <w:tc>
          <w:tcPr>
            <w:tcW w:w="4536" w:type="dxa"/>
            <w:vAlign w:val="center"/>
          </w:tcPr>
          <w:p w14:paraId="00B0002E">
            <w:pPr>
              <w:spacing w:after="0" w:line="252" w:lineRule="auto"/>
              <w:rPr>
                <w:rFonts w:hint="eastAsia"/>
                <w:sz w:val="24"/>
                <w:szCs w:val="24"/>
                <w:lang w:eastAsia="zh-CN"/>
              </w:rPr>
            </w:pPr>
            <w:r>
              <w:rPr>
                <w:sz w:val="24"/>
                <w:szCs w:val="24"/>
                <w:lang w:eastAsia="zh-CN"/>
              </w:rPr>
              <w:t>AI 助手和操作系统入口可能成为新型流量基础设施。反垄断分析需要证明市场力量、排他效果、数据与接口封锁、用户迁移成本及创新损害。</w:t>
            </w:r>
          </w:p>
        </w:tc>
      </w:tr>
    </w:tbl>
    <w:p w14:paraId="5425F8C8">
      <w:pPr>
        <w:rPr>
          <w:rFonts w:hint="eastAsia"/>
          <w:sz w:val="24"/>
          <w:szCs w:val="24"/>
          <w:lang w:eastAsia="zh-CN"/>
        </w:rPr>
      </w:pPr>
      <w:r>
        <w:rPr>
          <w:sz w:val="24"/>
          <w:szCs w:val="24"/>
          <w:lang w:eastAsia="zh-CN"/>
        </w:rPr>
        <w:br w:type="page"/>
      </w:r>
    </w:p>
    <w:p w14:paraId="4FC5F822">
      <w:pPr>
        <w:pStyle w:val="165"/>
        <w:spacing w:after="80"/>
        <w:rPr>
          <w:rFonts w:hint="eastAsia"/>
          <w:color w:val="auto"/>
          <w:sz w:val="24"/>
          <w:szCs w:val="24"/>
          <w:lang w:eastAsia="zh-CN"/>
        </w:rPr>
      </w:pPr>
      <w:r>
        <w:rPr>
          <w:rFonts w:hint="eastAsia"/>
          <w:b w:val="0"/>
          <w:color w:val="auto"/>
          <w:sz w:val="24"/>
          <w:szCs w:val="24"/>
          <w:lang w:eastAsia="zh-CN"/>
        </w:rPr>
        <w:t>8</w:t>
      </w:r>
      <w:r>
        <w:rPr>
          <w:b w:val="0"/>
          <w:color w:val="auto"/>
          <w:sz w:val="24"/>
          <w:szCs w:val="24"/>
          <w:lang w:eastAsia="zh-CN"/>
        </w:rPr>
        <w:t>、网络暴力、中国治理与人格权益保护场景</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4762"/>
        <w:gridCol w:w="3969"/>
        <w:gridCol w:w="4536"/>
      </w:tblGrid>
      <w:tr w14:paraId="3EFC74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tcW w:w="2268" w:type="dxa"/>
            <w:shd w:val="clear" w:color="auto" w:fill="1F4E79"/>
            <w:vAlign w:val="center"/>
          </w:tcPr>
          <w:p w14:paraId="6C29B5B0">
            <w:pPr>
              <w:spacing w:after="0" w:line="252" w:lineRule="auto"/>
              <w:rPr>
                <w:rFonts w:hint="eastAsia"/>
                <w:sz w:val="24"/>
                <w:szCs w:val="24"/>
              </w:rPr>
            </w:pPr>
            <w:r>
              <w:rPr>
                <w:b/>
                <w:color w:val="FFFFFF"/>
                <w:sz w:val="24"/>
                <w:szCs w:val="24"/>
              </w:rPr>
              <w:t>案例名称</w:t>
            </w:r>
          </w:p>
        </w:tc>
        <w:tc>
          <w:tcPr>
            <w:tcW w:w="4762" w:type="dxa"/>
            <w:shd w:val="clear" w:color="auto" w:fill="1F4E79"/>
            <w:vAlign w:val="center"/>
          </w:tcPr>
          <w:p w14:paraId="172C0D10">
            <w:pPr>
              <w:spacing w:after="0" w:line="252" w:lineRule="auto"/>
              <w:rPr>
                <w:rFonts w:hint="eastAsia"/>
                <w:sz w:val="24"/>
                <w:szCs w:val="24"/>
              </w:rPr>
            </w:pPr>
            <w:r>
              <w:rPr>
                <w:b/>
                <w:color w:val="FFFFFF"/>
                <w:sz w:val="24"/>
                <w:szCs w:val="24"/>
              </w:rPr>
              <w:t>具体案情提炼</w:t>
            </w:r>
          </w:p>
        </w:tc>
        <w:tc>
          <w:tcPr>
            <w:tcW w:w="3969" w:type="dxa"/>
            <w:shd w:val="clear" w:color="auto" w:fill="1F4E79"/>
            <w:vAlign w:val="center"/>
          </w:tcPr>
          <w:p w14:paraId="0FFDD67D">
            <w:pPr>
              <w:spacing w:after="0" w:line="252" w:lineRule="auto"/>
              <w:rPr>
                <w:rFonts w:hint="eastAsia"/>
                <w:sz w:val="24"/>
                <w:szCs w:val="24"/>
              </w:rPr>
            </w:pPr>
            <w:r>
              <w:rPr>
                <w:b/>
                <w:color w:val="FFFFFF"/>
                <w:sz w:val="24"/>
                <w:szCs w:val="24"/>
              </w:rPr>
              <w:t>涉案法条/规范</w:t>
            </w:r>
          </w:p>
        </w:tc>
        <w:tc>
          <w:tcPr>
            <w:tcW w:w="4536" w:type="dxa"/>
            <w:shd w:val="clear" w:color="auto" w:fill="1F4E79"/>
            <w:vAlign w:val="center"/>
          </w:tcPr>
          <w:p w14:paraId="181A2B51">
            <w:pPr>
              <w:spacing w:after="0" w:line="252" w:lineRule="auto"/>
              <w:rPr>
                <w:rFonts w:hint="eastAsia"/>
                <w:sz w:val="24"/>
                <w:szCs w:val="24"/>
              </w:rPr>
            </w:pPr>
            <w:r>
              <w:rPr>
                <w:b/>
                <w:color w:val="FFFFFF"/>
                <w:sz w:val="24"/>
                <w:szCs w:val="24"/>
              </w:rPr>
              <w:t>案例分析/合规启示</w:t>
            </w:r>
          </w:p>
        </w:tc>
      </w:tr>
      <w:tr w14:paraId="565B81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61BB266">
            <w:pPr>
              <w:spacing w:after="0" w:line="252" w:lineRule="auto"/>
              <w:rPr>
                <w:rFonts w:hint="eastAsia"/>
                <w:sz w:val="24"/>
                <w:szCs w:val="24"/>
                <w:lang w:eastAsia="zh-CN"/>
              </w:rPr>
            </w:pPr>
            <w:r>
              <w:rPr>
                <w:sz w:val="24"/>
                <w:szCs w:val="24"/>
                <w:lang w:eastAsia="zh-CN"/>
              </w:rPr>
              <w:t>1. 岳某侮辱案（检例第138号）</w:t>
            </w:r>
          </w:p>
        </w:tc>
        <w:tc>
          <w:tcPr>
            <w:tcW w:w="4762" w:type="dxa"/>
            <w:vAlign w:val="center"/>
          </w:tcPr>
          <w:p w14:paraId="1F97DFC7">
            <w:pPr>
              <w:spacing w:after="0" w:line="252" w:lineRule="auto"/>
              <w:rPr>
                <w:rFonts w:hint="eastAsia"/>
                <w:sz w:val="24"/>
                <w:szCs w:val="24"/>
                <w:lang w:eastAsia="zh-CN"/>
              </w:rPr>
            </w:pPr>
            <w:r>
              <w:rPr>
                <w:sz w:val="24"/>
                <w:szCs w:val="24"/>
                <w:lang w:eastAsia="zh-CN"/>
              </w:rPr>
              <w:t>岳某为报复前交往对象张某，在微信朋友圈、快手等平台散布张某裸体照片、视频并发送给家人；账号被封后又重新注册继续发布侮辱性内容，信息在当地扩散，张某最终服毒身亡。</w:t>
            </w:r>
          </w:p>
        </w:tc>
        <w:tc>
          <w:tcPr>
            <w:tcW w:w="3969" w:type="dxa"/>
            <w:vAlign w:val="center"/>
          </w:tcPr>
          <w:p w14:paraId="20709E5A">
            <w:pPr>
              <w:spacing w:after="0" w:line="252" w:lineRule="auto"/>
              <w:rPr>
                <w:rFonts w:hint="eastAsia"/>
                <w:sz w:val="24"/>
                <w:szCs w:val="24"/>
                <w:lang w:eastAsia="zh-CN"/>
              </w:rPr>
            </w:pPr>
            <w:r>
              <w:rPr>
                <w:sz w:val="24"/>
                <w:szCs w:val="24"/>
                <w:lang w:eastAsia="zh-CN"/>
              </w:rPr>
              <w:t>《刑法》第246条；《最高人民法院、最高人民检察院关于办理利用信息网络实施诽谤等刑事案件适用法律若干问题的解释》第2条、第3条、第5条；《民法典》人格权编。</w:t>
            </w:r>
          </w:p>
        </w:tc>
        <w:tc>
          <w:tcPr>
            <w:tcW w:w="4536" w:type="dxa"/>
            <w:vAlign w:val="center"/>
          </w:tcPr>
          <w:p w14:paraId="1B7799FF">
            <w:pPr>
              <w:spacing w:after="0" w:line="252" w:lineRule="auto"/>
              <w:rPr>
                <w:rFonts w:hint="eastAsia"/>
                <w:sz w:val="24"/>
                <w:szCs w:val="24"/>
                <w:lang w:eastAsia="zh-CN"/>
              </w:rPr>
            </w:pPr>
            <w:r>
              <w:rPr>
                <w:sz w:val="24"/>
                <w:szCs w:val="24"/>
                <w:lang w:eastAsia="zh-CN"/>
              </w:rPr>
              <w:t>网络平台发布具备公然性，粉丝少不当然否定公开传播。裸照视频和侮辱文字叠加、持续发布并致被害人自杀，属于情节严重并严重危害社会秩序，可由公诉程序追责。</w:t>
            </w:r>
          </w:p>
        </w:tc>
      </w:tr>
      <w:tr w14:paraId="1E82BA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0F7309D9">
            <w:pPr>
              <w:spacing w:after="0" w:line="252" w:lineRule="auto"/>
              <w:rPr>
                <w:rFonts w:hint="eastAsia"/>
                <w:sz w:val="24"/>
                <w:szCs w:val="24"/>
                <w:lang w:eastAsia="zh-CN"/>
              </w:rPr>
            </w:pPr>
            <w:r>
              <w:rPr>
                <w:sz w:val="24"/>
                <w:szCs w:val="24"/>
                <w:lang w:eastAsia="zh-CN"/>
              </w:rPr>
              <w:t>2. 汤某某、何某网上“骂战”被行政处罚案</w:t>
            </w:r>
          </w:p>
        </w:tc>
        <w:tc>
          <w:tcPr>
            <w:tcW w:w="4762" w:type="dxa"/>
            <w:shd w:val="clear" w:color="auto" w:fill="F7F7F7"/>
            <w:vAlign w:val="center"/>
          </w:tcPr>
          <w:p w14:paraId="4B4D84CD">
            <w:pPr>
              <w:spacing w:after="0" w:line="252" w:lineRule="auto"/>
              <w:rPr>
                <w:rFonts w:hint="eastAsia"/>
                <w:sz w:val="24"/>
                <w:szCs w:val="24"/>
                <w:lang w:eastAsia="zh-CN"/>
              </w:rPr>
            </w:pPr>
            <w:r>
              <w:rPr>
                <w:sz w:val="24"/>
                <w:szCs w:val="24"/>
                <w:lang w:eastAsia="zh-CN"/>
              </w:rPr>
              <w:t>2023 年二人因琐事发生冲突后在多个网络平台发布视频相互谩骂，并捏造对方非法持枪、抢劫、强奸等不实信息，引发围观和评论，造成不良社会影响。</w:t>
            </w:r>
          </w:p>
        </w:tc>
        <w:tc>
          <w:tcPr>
            <w:tcW w:w="3969" w:type="dxa"/>
            <w:shd w:val="clear" w:color="auto" w:fill="F7F7F7"/>
            <w:vAlign w:val="center"/>
          </w:tcPr>
          <w:p w14:paraId="77EC846F">
            <w:pPr>
              <w:spacing w:after="0" w:line="252" w:lineRule="auto"/>
              <w:rPr>
                <w:rFonts w:hint="eastAsia"/>
                <w:sz w:val="24"/>
                <w:szCs w:val="24"/>
                <w:lang w:eastAsia="zh-CN"/>
              </w:rPr>
            </w:pPr>
            <w:r>
              <w:rPr>
                <w:sz w:val="24"/>
                <w:szCs w:val="24"/>
                <w:lang w:eastAsia="zh-CN"/>
              </w:rPr>
              <w:t>《治安管理处罚法》关于侮辱、诽谤、扰乱公共秩序的规定；《民法典》第1024条、第1032条、第1034条；网络信息内容治理相关规则。</w:t>
            </w:r>
          </w:p>
        </w:tc>
        <w:tc>
          <w:tcPr>
            <w:tcW w:w="4536" w:type="dxa"/>
            <w:shd w:val="clear" w:color="auto" w:fill="F7F7F7"/>
            <w:vAlign w:val="center"/>
          </w:tcPr>
          <w:p w14:paraId="47A19FF8">
            <w:pPr>
              <w:spacing w:after="0" w:line="252" w:lineRule="auto"/>
              <w:rPr>
                <w:rFonts w:hint="eastAsia"/>
                <w:sz w:val="24"/>
                <w:szCs w:val="24"/>
                <w:lang w:eastAsia="zh-CN"/>
              </w:rPr>
            </w:pPr>
            <w:r>
              <w:rPr>
                <w:sz w:val="24"/>
                <w:szCs w:val="24"/>
                <w:lang w:eastAsia="zh-CN"/>
              </w:rPr>
              <w:t>未达犯罪程度的网络暴力仍可能受到行政处罚。公安机关可通过拘留、责令删除违法视频等方式及时制止网络骂战升级。</w:t>
            </w:r>
          </w:p>
        </w:tc>
      </w:tr>
      <w:tr w14:paraId="19AE01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83965F8">
            <w:pPr>
              <w:spacing w:after="0" w:line="252" w:lineRule="auto"/>
              <w:rPr>
                <w:rFonts w:hint="eastAsia"/>
                <w:sz w:val="24"/>
                <w:szCs w:val="24"/>
                <w:lang w:eastAsia="zh-CN"/>
              </w:rPr>
            </w:pPr>
            <w:r>
              <w:rPr>
                <w:sz w:val="24"/>
                <w:szCs w:val="24"/>
                <w:lang w:eastAsia="zh-CN"/>
              </w:rPr>
              <w:t>3. “造黄谣、邀吃瓜”未成年人网络欺凌案</w:t>
            </w:r>
          </w:p>
        </w:tc>
        <w:tc>
          <w:tcPr>
            <w:tcW w:w="4762" w:type="dxa"/>
            <w:vAlign w:val="center"/>
          </w:tcPr>
          <w:p w14:paraId="6D0987AC">
            <w:pPr>
              <w:spacing w:after="0" w:line="252" w:lineRule="auto"/>
              <w:rPr>
                <w:rFonts w:hint="eastAsia"/>
                <w:sz w:val="24"/>
                <w:szCs w:val="24"/>
                <w:lang w:eastAsia="zh-CN"/>
              </w:rPr>
            </w:pPr>
            <w:r>
              <w:rPr>
                <w:sz w:val="24"/>
                <w:szCs w:val="24"/>
                <w:lang w:eastAsia="zh-CN"/>
              </w:rPr>
              <w:t>未成年人之间通过网络传播涉性谣言、恶意 P 图、邀人围观和辱骂，造成被害人名誉、隐私和身心健康受损。材料将其作为未成年人网络欺凌治理案例。</w:t>
            </w:r>
          </w:p>
        </w:tc>
        <w:tc>
          <w:tcPr>
            <w:tcW w:w="3969" w:type="dxa"/>
            <w:vAlign w:val="center"/>
          </w:tcPr>
          <w:p w14:paraId="21A6D49C">
            <w:pPr>
              <w:spacing w:after="0" w:line="252" w:lineRule="auto"/>
              <w:rPr>
                <w:rFonts w:hint="eastAsia"/>
                <w:sz w:val="24"/>
                <w:szCs w:val="24"/>
                <w:lang w:eastAsia="zh-CN"/>
              </w:rPr>
            </w:pPr>
            <w:r>
              <w:rPr>
                <w:sz w:val="24"/>
                <w:szCs w:val="24"/>
                <w:lang w:eastAsia="zh-CN"/>
              </w:rPr>
              <w:t>《民法典》第1194条；《未成年人保护法》第77条；《未成年人网络保护条例》第26条；《最高人民法院关于审理利用信息网络侵害人身权益民事纠纷案件适用法律若干问题的规定》第1条、第12条。</w:t>
            </w:r>
          </w:p>
        </w:tc>
        <w:tc>
          <w:tcPr>
            <w:tcW w:w="4536" w:type="dxa"/>
            <w:vAlign w:val="center"/>
          </w:tcPr>
          <w:p w14:paraId="183739B8">
            <w:pPr>
              <w:spacing w:after="0" w:line="252" w:lineRule="auto"/>
              <w:rPr>
                <w:rFonts w:hint="eastAsia"/>
                <w:sz w:val="24"/>
                <w:szCs w:val="24"/>
                <w:lang w:eastAsia="zh-CN"/>
              </w:rPr>
            </w:pPr>
            <w:r>
              <w:rPr>
                <w:sz w:val="24"/>
                <w:szCs w:val="24"/>
                <w:lang w:eastAsia="zh-CN"/>
              </w:rPr>
              <w:t>涉性谣言对未成年人伤害更深，学校、平台和监护人均应承担及时制止、删除、心理干预和证据留存义务。不能以“玩笑”或“同龄人冲突”降低法律评价。</w:t>
            </w:r>
          </w:p>
        </w:tc>
      </w:tr>
    </w:tbl>
    <w:p w14:paraId="437DDFBA">
      <w:pPr>
        <w:rPr>
          <w:rFonts w:hint="eastAsia"/>
          <w:sz w:val="24"/>
          <w:szCs w:val="24"/>
          <w:lang w:eastAsia="zh-CN"/>
        </w:rPr>
      </w:pPr>
      <w:r>
        <w:rPr>
          <w:sz w:val="24"/>
          <w:szCs w:val="24"/>
          <w:lang w:eastAsia="zh-CN"/>
        </w:rPr>
        <w:br w:type="page"/>
      </w:r>
    </w:p>
    <w:p w14:paraId="4EFCBF2E">
      <w:pPr>
        <w:pStyle w:val="165"/>
        <w:spacing w:after="80"/>
        <w:rPr>
          <w:rFonts w:hint="eastAsia"/>
          <w:color w:val="auto"/>
          <w:sz w:val="24"/>
          <w:szCs w:val="24"/>
          <w:lang w:eastAsia="zh-CN"/>
        </w:rPr>
      </w:pPr>
      <w:r>
        <w:rPr>
          <w:rFonts w:hint="eastAsia"/>
          <w:b w:val="0"/>
          <w:color w:val="auto"/>
          <w:sz w:val="24"/>
          <w:szCs w:val="24"/>
          <w:lang w:eastAsia="zh-CN"/>
        </w:rPr>
        <w:t>9</w:t>
      </w:r>
      <w:r>
        <w:rPr>
          <w:b w:val="0"/>
          <w:color w:val="auto"/>
          <w:sz w:val="24"/>
          <w:szCs w:val="24"/>
          <w:lang w:eastAsia="zh-CN"/>
        </w:rPr>
        <w:t>、物联网安全、智慧司法与电子取证场景</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4762"/>
        <w:gridCol w:w="3969"/>
        <w:gridCol w:w="4536"/>
      </w:tblGrid>
      <w:tr w14:paraId="15DC92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tcW w:w="2268" w:type="dxa"/>
            <w:shd w:val="clear" w:color="auto" w:fill="1F4E79"/>
            <w:vAlign w:val="center"/>
          </w:tcPr>
          <w:p w14:paraId="00E24E46">
            <w:pPr>
              <w:spacing w:after="0" w:line="252" w:lineRule="auto"/>
              <w:rPr>
                <w:rFonts w:hint="eastAsia"/>
                <w:sz w:val="24"/>
                <w:szCs w:val="24"/>
              </w:rPr>
            </w:pPr>
            <w:r>
              <w:rPr>
                <w:b/>
                <w:color w:val="FFFFFF"/>
                <w:sz w:val="24"/>
                <w:szCs w:val="24"/>
              </w:rPr>
              <w:t>案例名称</w:t>
            </w:r>
          </w:p>
        </w:tc>
        <w:tc>
          <w:tcPr>
            <w:tcW w:w="4762" w:type="dxa"/>
            <w:shd w:val="clear" w:color="auto" w:fill="1F4E79"/>
            <w:vAlign w:val="center"/>
          </w:tcPr>
          <w:p w14:paraId="04E18928">
            <w:pPr>
              <w:spacing w:after="0" w:line="252" w:lineRule="auto"/>
              <w:rPr>
                <w:rFonts w:hint="eastAsia"/>
                <w:sz w:val="24"/>
                <w:szCs w:val="24"/>
              </w:rPr>
            </w:pPr>
            <w:r>
              <w:rPr>
                <w:b/>
                <w:color w:val="FFFFFF"/>
                <w:sz w:val="24"/>
                <w:szCs w:val="24"/>
              </w:rPr>
              <w:t>具体案情提炼</w:t>
            </w:r>
          </w:p>
        </w:tc>
        <w:tc>
          <w:tcPr>
            <w:tcW w:w="3969" w:type="dxa"/>
            <w:shd w:val="clear" w:color="auto" w:fill="1F4E79"/>
            <w:vAlign w:val="center"/>
          </w:tcPr>
          <w:p w14:paraId="5B578013">
            <w:pPr>
              <w:spacing w:after="0" w:line="252" w:lineRule="auto"/>
              <w:rPr>
                <w:rFonts w:hint="eastAsia"/>
                <w:sz w:val="24"/>
                <w:szCs w:val="24"/>
              </w:rPr>
            </w:pPr>
            <w:r>
              <w:rPr>
                <w:b/>
                <w:color w:val="FFFFFF"/>
                <w:sz w:val="24"/>
                <w:szCs w:val="24"/>
              </w:rPr>
              <w:t>涉案法条/规范</w:t>
            </w:r>
          </w:p>
        </w:tc>
        <w:tc>
          <w:tcPr>
            <w:tcW w:w="4536" w:type="dxa"/>
            <w:shd w:val="clear" w:color="auto" w:fill="1F4E79"/>
            <w:vAlign w:val="center"/>
          </w:tcPr>
          <w:p w14:paraId="46D9353F">
            <w:pPr>
              <w:spacing w:after="0" w:line="252" w:lineRule="auto"/>
              <w:rPr>
                <w:rFonts w:hint="eastAsia"/>
                <w:sz w:val="24"/>
                <w:szCs w:val="24"/>
              </w:rPr>
            </w:pPr>
            <w:r>
              <w:rPr>
                <w:b/>
                <w:color w:val="FFFFFF"/>
                <w:sz w:val="24"/>
                <w:szCs w:val="24"/>
              </w:rPr>
              <w:t>案例分析/合规启示</w:t>
            </w:r>
          </w:p>
        </w:tc>
      </w:tr>
      <w:tr w14:paraId="6F1F2A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9E904BB">
            <w:pPr>
              <w:spacing w:after="0" w:line="252" w:lineRule="auto"/>
              <w:rPr>
                <w:rFonts w:hint="eastAsia"/>
                <w:sz w:val="24"/>
                <w:szCs w:val="24"/>
              </w:rPr>
            </w:pPr>
            <w:r>
              <w:rPr>
                <w:sz w:val="24"/>
                <w:szCs w:val="24"/>
              </w:rPr>
              <w:t>1. BadPower 快充设备安全漏洞案例</w:t>
            </w:r>
          </w:p>
        </w:tc>
        <w:tc>
          <w:tcPr>
            <w:tcW w:w="4762" w:type="dxa"/>
            <w:vAlign w:val="center"/>
          </w:tcPr>
          <w:p w14:paraId="0B67642F">
            <w:pPr>
              <w:spacing w:after="0" w:line="252" w:lineRule="auto"/>
              <w:rPr>
                <w:rFonts w:hint="eastAsia"/>
                <w:sz w:val="24"/>
                <w:szCs w:val="24"/>
                <w:lang w:eastAsia="zh-CN"/>
              </w:rPr>
            </w:pPr>
            <w:r>
              <w:rPr>
                <w:sz w:val="24"/>
                <w:szCs w:val="24"/>
                <w:lang w:eastAsia="zh-CN"/>
              </w:rPr>
              <w:t>腾讯安全玄武实验室披露大量快充终端可被改写固件，攻击者可控制充电行为，导致被充电设备元器件烧毁。</w:t>
            </w:r>
          </w:p>
        </w:tc>
        <w:tc>
          <w:tcPr>
            <w:tcW w:w="3969" w:type="dxa"/>
            <w:vAlign w:val="center"/>
          </w:tcPr>
          <w:p w14:paraId="187B2848">
            <w:pPr>
              <w:spacing w:after="0" w:line="252" w:lineRule="auto"/>
              <w:rPr>
                <w:rFonts w:hint="eastAsia"/>
                <w:sz w:val="24"/>
                <w:szCs w:val="24"/>
                <w:lang w:eastAsia="zh-CN"/>
              </w:rPr>
            </w:pPr>
            <w:r>
              <w:rPr>
                <w:sz w:val="24"/>
                <w:szCs w:val="24"/>
                <w:lang w:eastAsia="zh-CN"/>
              </w:rPr>
              <w:t>《网络安全法》第21条、第42条；《数据安全法》第27条；《个人信息保护法》第51条；产品安全与漏洞管理规则。</w:t>
            </w:r>
          </w:p>
        </w:tc>
        <w:tc>
          <w:tcPr>
            <w:tcW w:w="4536" w:type="dxa"/>
            <w:vAlign w:val="center"/>
          </w:tcPr>
          <w:p w14:paraId="47C51764">
            <w:pPr>
              <w:spacing w:after="0" w:line="252" w:lineRule="auto"/>
              <w:rPr>
                <w:rFonts w:hint="eastAsia"/>
                <w:sz w:val="24"/>
                <w:szCs w:val="24"/>
                <w:lang w:eastAsia="zh-CN"/>
              </w:rPr>
            </w:pPr>
            <w:r>
              <w:rPr>
                <w:sz w:val="24"/>
                <w:szCs w:val="24"/>
                <w:lang w:eastAsia="zh-CN"/>
              </w:rPr>
              <w:t>终端厂商不能只关注功能和成本，应落实安全默认、固件签名、更新验证、异常检测和漏洞响应机制。</w:t>
            </w:r>
          </w:p>
        </w:tc>
      </w:tr>
      <w:tr w14:paraId="40A279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19BC9B29">
            <w:pPr>
              <w:spacing w:after="0" w:line="252" w:lineRule="auto"/>
              <w:rPr>
                <w:rFonts w:hint="eastAsia"/>
                <w:sz w:val="24"/>
                <w:szCs w:val="24"/>
                <w:lang w:eastAsia="zh-CN"/>
              </w:rPr>
            </w:pPr>
            <w:r>
              <w:rPr>
                <w:sz w:val="24"/>
                <w:szCs w:val="24"/>
                <w:lang w:eastAsia="zh-CN"/>
              </w:rPr>
              <w:t>2. 某自习室系统渗透测试案例</w:t>
            </w:r>
          </w:p>
        </w:tc>
        <w:tc>
          <w:tcPr>
            <w:tcW w:w="4762" w:type="dxa"/>
            <w:shd w:val="clear" w:color="auto" w:fill="F7F7F7"/>
            <w:vAlign w:val="center"/>
          </w:tcPr>
          <w:p w14:paraId="739927F8">
            <w:pPr>
              <w:spacing w:after="0" w:line="252" w:lineRule="auto"/>
              <w:rPr>
                <w:rFonts w:hint="eastAsia"/>
                <w:sz w:val="24"/>
                <w:szCs w:val="24"/>
                <w:lang w:eastAsia="zh-CN"/>
              </w:rPr>
            </w:pPr>
            <w:r>
              <w:rPr>
                <w:sz w:val="24"/>
                <w:szCs w:val="24"/>
                <w:lang w:eastAsia="zh-CN"/>
              </w:rPr>
              <w:t>通过端口扫描连接服务器，取得门禁系统截图、数据库账号密码及总管理后台权限，系统涉及门禁、预约、身份、支付、消费记录和监控画面。</w:t>
            </w:r>
          </w:p>
        </w:tc>
        <w:tc>
          <w:tcPr>
            <w:tcW w:w="3969" w:type="dxa"/>
            <w:shd w:val="clear" w:color="auto" w:fill="F7F7F7"/>
            <w:vAlign w:val="center"/>
          </w:tcPr>
          <w:p w14:paraId="559F3826">
            <w:pPr>
              <w:spacing w:after="0" w:line="252" w:lineRule="auto"/>
              <w:rPr>
                <w:rFonts w:hint="eastAsia"/>
                <w:sz w:val="24"/>
                <w:szCs w:val="24"/>
                <w:lang w:eastAsia="zh-CN"/>
              </w:rPr>
            </w:pPr>
            <w:r>
              <w:rPr>
                <w:sz w:val="24"/>
                <w:szCs w:val="24"/>
                <w:lang w:eastAsia="zh-CN"/>
              </w:rPr>
              <w:t>《网络安全法》第21条、第42条；《个人信息保护法》第51条；《刑法》非法侵入、破坏计算机信息系统相关规则；授权测试规则。</w:t>
            </w:r>
          </w:p>
        </w:tc>
        <w:tc>
          <w:tcPr>
            <w:tcW w:w="4536" w:type="dxa"/>
            <w:shd w:val="clear" w:color="auto" w:fill="F7F7F7"/>
            <w:vAlign w:val="center"/>
          </w:tcPr>
          <w:p w14:paraId="5839E8BD">
            <w:pPr>
              <w:spacing w:after="0" w:line="252" w:lineRule="auto"/>
              <w:rPr>
                <w:rFonts w:hint="eastAsia"/>
                <w:sz w:val="24"/>
                <w:szCs w:val="24"/>
                <w:lang w:eastAsia="zh-CN"/>
              </w:rPr>
            </w:pPr>
            <w:r>
              <w:rPr>
                <w:sz w:val="24"/>
                <w:szCs w:val="24"/>
                <w:lang w:eastAsia="zh-CN"/>
              </w:rPr>
              <w:t>物联网场景需同时治理信息系统安全与物理空间安全，落实权限分级、日志审计、漏洞修复和授权测试。</w:t>
            </w:r>
          </w:p>
        </w:tc>
      </w:tr>
      <w:tr w14:paraId="44AC5E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4283AFE">
            <w:pPr>
              <w:spacing w:after="0" w:line="252" w:lineRule="auto"/>
              <w:rPr>
                <w:rFonts w:hint="eastAsia"/>
                <w:sz w:val="24"/>
                <w:szCs w:val="24"/>
                <w:lang w:eastAsia="zh-CN"/>
              </w:rPr>
            </w:pPr>
            <w:r>
              <w:rPr>
                <w:sz w:val="24"/>
                <w:szCs w:val="24"/>
                <w:lang w:eastAsia="zh-CN"/>
              </w:rPr>
              <w:t>3. 小米米家摄像头被侵入显示他人画面事件</w:t>
            </w:r>
          </w:p>
        </w:tc>
        <w:tc>
          <w:tcPr>
            <w:tcW w:w="4762" w:type="dxa"/>
            <w:vAlign w:val="center"/>
          </w:tcPr>
          <w:p w14:paraId="066BE39D">
            <w:pPr>
              <w:spacing w:after="0" w:line="252" w:lineRule="auto"/>
              <w:rPr>
                <w:rFonts w:hint="eastAsia"/>
                <w:sz w:val="24"/>
                <w:szCs w:val="24"/>
                <w:lang w:eastAsia="zh-CN"/>
              </w:rPr>
            </w:pPr>
            <w:r>
              <w:rPr>
                <w:sz w:val="24"/>
                <w:szCs w:val="24"/>
                <w:lang w:eastAsia="zh-CN"/>
              </w:rPr>
              <w:t>2020 年用户通过 Google Nest Hub 查看米家摄像头时出现他人家庭静止图像，包括睡觉和婴儿画面，谷歌随后禁用相关集成功能。</w:t>
            </w:r>
          </w:p>
        </w:tc>
        <w:tc>
          <w:tcPr>
            <w:tcW w:w="3969" w:type="dxa"/>
            <w:vAlign w:val="center"/>
          </w:tcPr>
          <w:p w14:paraId="7407C07E">
            <w:pPr>
              <w:spacing w:after="0" w:line="252" w:lineRule="auto"/>
              <w:rPr>
                <w:rFonts w:hint="eastAsia"/>
                <w:sz w:val="24"/>
                <w:szCs w:val="24"/>
                <w:lang w:eastAsia="zh-CN"/>
              </w:rPr>
            </w:pPr>
            <w:r>
              <w:rPr>
                <w:sz w:val="24"/>
                <w:szCs w:val="24"/>
                <w:lang w:eastAsia="zh-CN"/>
              </w:rPr>
              <w:t>《个人信息保护法》第28条、第51条；《网络安全法》第21条、第42条；家庭隐私和视频图像保护规则。</w:t>
            </w:r>
          </w:p>
        </w:tc>
        <w:tc>
          <w:tcPr>
            <w:tcW w:w="4536" w:type="dxa"/>
            <w:vAlign w:val="center"/>
          </w:tcPr>
          <w:p w14:paraId="6870A665">
            <w:pPr>
              <w:spacing w:after="0" w:line="252" w:lineRule="auto"/>
              <w:rPr>
                <w:rFonts w:hint="eastAsia"/>
                <w:sz w:val="24"/>
                <w:szCs w:val="24"/>
                <w:lang w:eastAsia="zh-CN"/>
              </w:rPr>
            </w:pPr>
            <w:r>
              <w:rPr>
                <w:sz w:val="24"/>
                <w:szCs w:val="24"/>
                <w:lang w:eastAsia="zh-CN"/>
              </w:rPr>
              <w:t>家庭摄像头采集高度私密信息，云端同步、账号绑定和第三方接口应进行严格隔离、授权和默认隐私保护。</w:t>
            </w:r>
          </w:p>
        </w:tc>
      </w:tr>
      <w:tr w14:paraId="2FE4C8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239F7375">
            <w:pPr>
              <w:spacing w:after="0" w:line="252" w:lineRule="auto"/>
              <w:rPr>
                <w:rFonts w:hint="eastAsia"/>
                <w:sz w:val="24"/>
                <w:szCs w:val="24"/>
              </w:rPr>
            </w:pPr>
            <w:r>
              <w:rPr>
                <w:sz w:val="24"/>
                <w:szCs w:val="24"/>
              </w:rPr>
              <w:t>4. Kr00k WiFi 芯片漏洞</w:t>
            </w:r>
          </w:p>
        </w:tc>
        <w:tc>
          <w:tcPr>
            <w:tcW w:w="4762" w:type="dxa"/>
            <w:shd w:val="clear" w:color="auto" w:fill="F7F7F7"/>
            <w:vAlign w:val="center"/>
          </w:tcPr>
          <w:p w14:paraId="371D053A">
            <w:pPr>
              <w:spacing w:after="0" w:line="252" w:lineRule="auto"/>
              <w:rPr>
                <w:rFonts w:hint="eastAsia"/>
                <w:sz w:val="24"/>
                <w:szCs w:val="24"/>
              </w:rPr>
            </w:pPr>
            <w:r>
              <w:rPr>
                <w:sz w:val="24"/>
                <w:szCs w:val="24"/>
              </w:rPr>
              <w:t>ESET 研究员发现 Broadcom、Cypress WiFi 芯片漏洞，可使攻击者截取并解密无线数据包，影响手机、笔记本、智能音箱等大量设备。</w:t>
            </w:r>
          </w:p>
        </w:tc>
        <w:tc>
          <w:tcPr>
            <w:tcW w:w="3969" w:type="dxa"/>
            <w:shd w:val="clear" w:color="auto" w:fill="F7F7F7"/>
            <w:vAlign w:val="center"/>
          </w:tcPr>
          <w:p w14:paraId="6F5E64F9">
            <w:pPr>
              <w:spacing w:after="0" w:line="252" w:lineRule="auto"/>
              <w:rPr>
                <w:rFonts w:hint="eastAsia"/>
                <w:sz w:val="24"/>
                <w:szCs w:val="24"/>
                <w:lang w:eastAsia="zh-CN"/>
              </w:rPr>
            </w:pPr>
            <w:r>
              <w:rPr>
                <w:sz w:val="24"/>
                <w:szCs w:val="24"/>
                <w:lang w:eastAsia="zh-CN"/>
              </w:rPr>
              <w:t>《网络安全法》第21条；《数据安全法》第27条；漏洞管理和产品安全规则。</w:t>
            </w:r>
          </w:p>
        </w:tc>
        <w:tc>
          <w:tcPr>
            <w:tcW w:w="4536" w:type="dxa"/>
            <w:shd w:val="clear" w:color="auto" w:fill="F7F7F7"/>
            <w:vAlign w:val="center"/>
          </w:tcPr>
          <w:p w14:paraId="13549BAC">
            <w:pPr>
              <w:spacing w:after="0" w:line="252" w:lineRule="auto"/>
              <w:rPr>
                <w:rFonts w:hint="eastAsia"/>
                <w:sz w:val="24"/>
                <w:szCs w:val="24"/>
                <w:lang w:eastAsia="zh-CN"/>
              </w:rPr>
            </w:pPr>
            <w:r>
              <w:rPr>
                <w:sz w:val="24"/>
                <w:szCs w:val="24"/>
                <w:lang w:eastAsia="zh-CN"/>
              </w:rPr>
              <w:t>芯片级漏洞说明物联网安全责任贯穿供应链，设备商应建立漏洞情报、补丁分发和兼容性验证机制。</w:t>
            </w:r>
          </w:p>
        </w:tc>
      </w:tr>
      <w:tr w14:paraId="11A0070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6F2D78E">
            <w:pPr>
              <w:spacing w:after="0" w:line="252" w:lineRule="auto"/>
              <w:rPr>
                <w:rFonts w:hint="eastAsia"/>
                <w:sz w:val="24"/>
                <w:szCs w:val="24"/>
                <w:lang w:eastAsia="zh-CN"/>
              </w:rPr>
            </w:pPr>
            <w:r>
              <w:rPr>
                <w:sz w:val="24"/>
                <w:szCs w:val="24"/>
                <w:lang w:eastAsia="zh-CN"/>
              </w:rPr>
              <w:t>5. 美国联网医疗成像设备安全隐患案例</w:t>
            </w:r>
          </w:p>
        </w:tc>
        <w:tc>
          <w:tcPr>
            <w:tcW w:w="4762" w:type="dxa"/>
            <w:vAlign w:val="center"/>
          </w:tcPr>
          <w:p w14:paraId="5D444C75">
            <w:pPr>
              <w:spacing w:after="0" w:line="252" w:lineRule="auto"/>
              <w:rPr>
                <w:rFonts w:hint="eastAsia"/>
                <w:sz w:val="24"/>
                <w:szCs w:val="24"/>
                <w:lang w:eastAsia="zh-CN"/>
              </w:rPr>
            </w:pPr>
            <w:r>
              <w:rPr>
                <w:sz w:val="24"/>
                <w:szCs w:val="24"/>
                <w:lang w:eastAsia="zh-CN"/>
              </w:rPr>
              <w:t>联网医疗成像设备存在弱口令、暴露端口或未授权访问风险，可能泄露患者影像与诊疗信息，并影响医疗服务连续性。</w:t>
            </w:r>
          </w:p>
        </w:tc>
        <w:tc>
          <w:tcPr>
            <w:tcW w:w="3969" w:type="dxa"/>
            <w:vAlign w:val="center"/>
          </w:tcPr>
          <w:p w14:paraId="203617AC">
            <w:pPr>
              <w:spacing w:after="0" w:line="252" w:lineRule="auto"/>
              <w:rPr>
                <w:rFonts w:hint="eastAsia"/>
                <w:sz w:val="24"/>
                <w:szCs w:val="24"/>
                <w:lang w:eastAsia="zh-CN"/>
              </w:rPr>
            </w:pPr>
            <w:r>
              <w:rPr>
                <w:sz w:val="24"/>
                <w:szCs w:val="24"/>
                <w:lang w:eastAsia="zh-CN"/>
              </w:rPr>
              <w:t>HIPAA 相关安全规则；对应我国《个人信息保护法》第28条、第51条，《网络安全法》第21条。</w:t>
            </w:r>
          </w:p>
        </w:tc>
        <w:tc>
          <w:tcPr>
            <w:tcW w:w="4536" w:type="dxa"/>
            <w:vAlign w:val="center"/>
          </w:tcPr>
          <w:p w14:paraId="5636DBED">
            <w:pPr>
              <w:spacing w:after="0" w:line="252" w:lineRule="auto"/>
              <w:rPr>
                <w:rFonts w:hint="eastAsia"/>
                <w:sz w:val="24"/>
                <w:szCs w:val="24"/>
                <w:lang w:eastAsia="zh-CN"/>
              </w:rPr>
            </w:pPr>
            <w:r>
              <w:rPr>
                <w:sz w:val="24"/>
                <w:szCs w:val="24"/>
                <w:lang w:eastAsia="zh-CN"/>
              </w:rPr>
              <w:t>医疗物联网设备兼具生命健康与个人信息风险，应加强网络隔离、设备身份认证、补丁和应急预案。</w:t>
            </w:r>
          </w:p>
        </w:tc>
      </w:tr>
      <w:tr w14:paraId="068D82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4339D7DB">
            <w:pPr>
              <w:spacing w:after="0" w:line="252" w:lineRule="auto"/>
              <w:rPr>
                <w:rFonts w:hint="eastAsia"/>
                <w:sz w:val="24"/>
                <w:szCs w:val="24"/>
                <w:lang w:eastAsia="zh-CN"/>
              </w:rPr>
            </w:pPr>
            <w:r>
              <w:rPr>
                <w:sz w:val="24"/>
                <w:szCs w:val="24"/>
                <w:lang w:eastAsia="zh-CN"/>
              </w:rPr>
              <w:t>6. 福特、大众车联网安全漏洞</w:t>
            </w:r>
          </w:p>
        </w:tc>
        <w:tc>
          <w:tcPr>
            <w:tcW w:w="4762" w:type="dxa"/>
            <w:shd w:val="clear" w:color="auto" w:fill="F7F7F7"/>
            <w:vAlign w:val="center"/>
          </w:tcPr>
          <w:p w14:paraId="1D1AB744">
            <w:pPr>
              <w:spacing w:after="0" w:line="252" w:lineRule="auto"/>
              <w:rPr>
                <w:rFonts w:hint="eastAsia"/>
                <w:sz w:val="24"/>
                <w:szCs w:val="24"/>
                <w:lang w:eastAsia="zh-CN"/>
              </w:rPr>
            </w:pPr>
            <w:r>
              <w:rPr>
                <w:sz w:val="24"/>
                <w:szCs w:val="24"/>
                <w:lang w:eastAsia="zh-CN"/>
              </w:rPr>
              <w:t>研究或公开报告显示车联网系统存在接口、App 或服务端漏洞，可能影响车辆数据查询、远程功能或用户信息安全。</w:t>
            </w:r>
          </w:p>
        </w:tc>
        <w:tc>
          <w:tcPr>
            <w:tcW w:w="3969" w:type="dxa"/>
            <w:shd w:val="clear" w:color="auto" w:fill="F7F7F7"/>
            <w:vAlign w:val="center"/>
          </w:tcPr>
          <w:p w14:paraId="24F562DA">
            <w:pPr>
              <w:spacing w:after="0" w:line="252" w:lineRule="auto"/>
              <w:rPr>
                <w:rFonts w:hint="eastAsia"/>
                <w:sz w:val="24"/>
                <w:szCs w:val="24"/>
                <w:lang w:eastAsia="zh-CN"/>
              </w:rPr>
            </w:pPr>
            <w:r>
              <w:rPr>
                <w:sz w:val="24"/>
                <w:szCs w:val="24"/>
                <w:lang w:eastAsia="zh-CN"/>
              </w:rPr>
              <w:t>《网络安全法》第21条、第42条；《个人信息保护法》第51条；《汽车数据安全管理若干规定（试行）》。</w:t>
            </w:r>
          </w:p>
        </w:tc>
        <w:tc>
          <w:tcPr>
            <w:tcW w:w="4536" w:type="dxa"/>
            <w:shd w:val="clear" w:color="auto" w:fill="F7F7F7"/>
            <w:vAlign w:val="center"/>
          </w:tcPr>
          <w:p w14:paraId="74DE130B">
            <w:pPr>
              <w:spacing w:after="0" w:line="252" w:lineRule="auto"/>
              <w:rPr>
                <w:rFonts w:hint="eastAsia"/>
                <w:sz w:val="24"/>
                <w:szCs w:val="24"/>
                <w:lang w:eastAsia="zh-CN"/>
              </w:rPr>
            </w:pPr>
            <w:r>
              <w:rPr>
                <w:sz w:val="24"/>
                <w:szCs w:val="24"/>
                <w:lang w:eastAsia="zh-CN"/>
              </w:rPr>
              <w:t>车联网安全不仅是隐私问题，也可能外溢为车辆控制安全。应对远程控制功能实施强认证和分层授权。</w:t>
            </w:r>
          </w:p>
        </w:tc>
      </w:tr>
      <w:tr w14:paraId="573EC9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DD96195">
            <w:pPr>
              <w:spacing w:after="0" w:line="252" w:lineRule="auto"/>
              <w:rPr>
                <w:rFonts w:hint="eastAsia"/>
                <w:sz w:val="24"/>
                <w:szCs w:val="24"/>
                <w:lang w:eastAsia="zh-CN"/>
              </w:rPr>
            </w:pPr>
            <w:r>
              <w:rPr>
                <w:sz w:val="24"/>
                <w:szCs w:val="24"/>
                <w:lang w:eastAsia="zh-CN"/>
              </w:rPr>
              <w:t>7. 运营商通信协议高危漏洞案例</w:t>
            </w:r>
          </w:p>
        </w:tc>
        <w:tc>
          <w:tcPr>
            <w:tcW w:w="4762" w:type="dxa"/>
            <w:vAlign w:val="center"/>
          </w:tcPr>
          <w:p w14:paraId="17817E14">
            <w:pPr>
              <w:spacing w:after="0" w:line="252" w:lineRule="auto"/>
              <w:rPr>
                <w:rFonts w:hint="eastAsia"/>
                <w:sz w:val="24"/>
                <w:szCs w:val="24"/>
                <w:lang w:eastAsia="zh-CN"/>
              </w:rPr>
            </w:pPr>
            <w:r>
              <w:rPr>
                <w:sz w:val="24"/>
                <w:szCs w:val="24"/>
                <w:lang w:eastAsia="zh-CN"/>
              </w:rPr>
              <w:t>通信协议漏洞可能导致信令追踪、位置泄露、短信拦截或通信数据被窃取，影响大量移动与物联网终端。</w:t>
            </w:r>
          </w:p>
        </w:tc>
        <w:tc>
          <w:tcPr>
            <w:tcW w:w="3969" w:type="dxa"/>
            <w:vAlign w:val="center"/>
          </w:tcPr>
          <w:p w14:paraId="5DCE7CF0">
            <w:pPr>
              <w:spacing w:after="0" w:line="252" w:lineRule="auto"/>
              <w:rPr>
                <w:rFonts w:hint="eastAsia"/>
                <w:sz w:val="24"/>
                <w:szCs w:val="24"/>
                <w:lang w:eastAsia="zh-CN"/>
              </w:rPr>
            </w:pPr>
            <w:r>
              <w:rPr>
                <w:sz w:val="24"/>
                <w:szCs w:val="24"/>
                <w:lang w:eastAsia="zh-CN"/>
              </w:rPr>
              <w:t>《网络安全法》第21条、第42条；《数据安全法》第27条；通信网络安全管理规则。</w:t>
            </w:r>
          </w:p>
        </w:tc>
        <w:tc>
          <w:tcPr>
            <w:tcW w:w="4536" w:type="dxa"/>
            <w:vAlign w:val="center"/>
          </w:tcPr>
          <w:p w14:paraId="559BDB74">
            <w:pPr>
              <w:spacing w:after="0" w:line="252" w:lineRule="auto"/>
              <w:rPr>
                <w:rFonts w:hint="eastAsia"/>
                <w:sz w:val="24"/>
                <w:szCs w:val="24"/>
                <w:lang w:eastAsia="zh-CN"/>
              </w:rPr>
            </w:pPr>
            <w:r>
              <w:rPr>
                <w:sz w:val="24"/>
                <w:szCs w:val="24"/>
                <w:lang w:eastAsia="zh-CN"/>
              </w:rPr>
              <w:t>管道侧安全是物联网数据流转基础，运营商应进行协议安全加固、异常信令监测和跨网协同响应。</w:t>
            </w:r>
          </w:p>
        </w:tc>
      </w:tr>
      <w:tr w14:paraId="7B90A1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1ED592AB">
            <w:pPr>
              <w:spacing w:after="0" w:line="252" w:lineRule="auto"/>
              <w:rPr>
                <w:rFonts w:hint="eastAsia"/>
                <w:sz w:val="24"/>
                <w:szCs w:val="24"/>
              </w:rPr>
            </w:pPr>
            <w:r>
              <w:rPr>
                <w:sz w:val="24"/>
                <w:szCs w:val="24"/>
              </w:rPr>
              <w:t>8. SWARCO 交通信号灯控制器漏洞</w:t>
            </w:r>
          </w:p>
        </w:tc>
        <w:tc>
          <w:tcPr>
            <w:tcW w:w="4762" w:type="dxa"/>
            <w:shd w:val="clear" w:color="auto" w:fill="F7F7F7"/>
            <w:vAlign w:val="center"/>
          </w:tcPr>
          <w:p w14:paraId="0268707C">
            <w:pPr>
              <w:spacing w:after="0" w:line="252" w:lineRule="auto"/>
              <w:rPr>
                <w:rFonts w:hint="eastAsia"/>
                <w:sz w:val="24"/>
                <w:szCs w:val="24"/>
                <w:lang w:eastAsia="zh-CN"/>
              </w:rPr>
            </w:pPr>
            <w:r>
              <w:rPr>
                <w:sz w:val="24"/>
                <w:szCs w:val="24"/>
                <w:lang w:eastAsia="zh-CN"/>
              </w:rPr>
              <w:t>交通信号控制器漏洞可能被利用以影响信号灯运行，进而造成交通秩序和公共安全风险。</w:t>
            </w:r>
          </w:p>
        </w:tc>
        <w:tc>
          <w:tcPr>
            <w:tcW w:w="3969" w:type="dxa"/>
            <w:shd w:val="clear" w:color="auto" w:fill="F7F7F7"/>
            <w:vAlign w:val="center"/>
          </w:tcPr>
          <w:p w14:paraId="7BAFE7A9">
            <w:pPr>
              <w:spacing w:after="0" w:line="252" w:lineRule="auto"/>
              <w:rPr>
                <w:rFonts w:hint="eastAsia"/>
                <w:sz w:val="24"/>
                <w:szCs w:val="24"/>
                <w:lang w:eastAsia="zh-CN"/>
              </w:rPr>
            </w:pPr>
            <w:r>
              <w:rPr>
                <w:sz w:val="24"/>
                <w:szCs w:val="24"/>
                <w:lang w:eastAsia="zh-CN"/>
              </w:rPr>
              <w:t>《网络安全法》第21条；《数据安全法》第27条；关键信息基础设施安全保护规则。</w:t>
            </w:r>
          </w:p>
        </w:tc>
        <w:tc>
          <w:tcPr>
            <w:tcW w:w="4536" w:type="dxa"/>
            <w:shd w:val="clear" w:color="auto" w:fill="F7F7F7"/>
            <w:vAlign w:val="center"/>
          </w:tcPr>
          <w:p w14:paraId="26573B74">
            <w:pPr>
              <w:spacing w:after="0" w:line="252" w:lineRule="auto"/>
              <w:rPr>
                <w:rFonts w:hint="eastAsia"/>
                <w:sz w:val="24"/>
                <w:szCs w:val="24"/>
                <w:lang w:eastAsia="zh-CN"/>
              </w:rPr>
            </w:pPr>
            <w:r>
              <w:rPr>
                <w:sz w:val="24"/>
                <w:szCs w:val="24"/>
                <w:lang w:eastAsia="zh-CN"/>
              </w:rPr>
              <w:t>智慧交通设备属于城市治理基础设施，应执行网络隔离、强口令、补丁、远程访问控制和实战演练。</w:t>
            </w:r>
          </w:p>
        </w:tc>
      </w:tr>
      <w:tr w14:paraId="54CB35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697C0E4">
            <w:pPr>
              <w:spacing w:after="0" w:line="252" w:lineRule="auto"/>
              <w:rPr>
                <w:rFonts w:hint="eastAsia"/>
                <w:sz w:val="24"/>
                <w:szCs w:val="24"/>
              </w:rPr>
            </w:pPr>
            <w:r>
              <w:rPr>
                <w:sz w:val="24"/>
                <w:szCs w:val="24"/>
              </w:rPr>
              <w:t>9. 俄罗斯 PickPoint 快递柜遭攻击事件</w:t>
            </w:r>
          </w:p>
        </w:tc>
        <w:tc>
          <w:tcPr>
            <w:tcW w:w="4762" w:type="dxa"/>
            <w:vAlign w:val="center"/>
          </w:tcPr>
          <w:p w14:paraId="36CFD0A8">
            <w:pPr>
              <w:spacing w:after="0" w:line="252" w:lineRule="auto"/>
              <w:rPr>
                <w:rFonts w:hint="eastAsia"/>
                <w:sz w:val="24"/>
                <w:szCs w:val="24"/>
                <w:lang w:eastAsia="zh-CN"/>
              </w:rPr>
            </w:pPr>
            <w:r>
              <w:rPr>
                <w:sz w:val="24"/>
                <w:szCs w:val="24"/>
                <w:lang w:eastAsia="zh-CN"/>
              </w:rPr>
              <w:t>PickPoint 智能快递柜遭攻击后，大量柜门异常打开，反映智能终端连接云平台后的物理安全外溢风险。</w:t>
            </w:r>
          </w:p>
        </w:tc>
        <w:tc>
          <w:tcPr>
            <w:tcW w:w="3969" w:type="dxa"/>
            <w:vAlign w:val="center"/>
          </w:tcPr>
          <w:p w14:paraId="5D84912D">
            <w:pPr>
              <w:spacing w:after="0" w:line="252" w:lineRule="auto"/>
              <w:rPr>
                <w:rFonts w:hint="eastAsia"/>
                <w:sz w:val="24"/>
                <w:szCs w:val="24"/>
                <w:lang w:eastAsia="zh-CN"/>
              </w:rPr>
            </w:pPr>
            <w:r>
              <w:rPr>
                <w:sz w:val="24"/>
                <w:szCs w:val="24"/>
                <w:lang w:eastAsia="zh-CN"/>
              </w:rPr>
              <w:t>网络安全与个人信息保护规则；对应我国《网络安全法》第21条、第42条，《个人信息保护法》第51条。</w:t>
            </w:r>
          </w:p>
        </w:tc>
        <w:tc>
          <w:tcPr>
            <w:tcW w:w="4536" w:type="dxa"/>
            <w:vAlign w:val="center"/>
          </w:tcPr>
          <w:p w14:paraId="41C24483">
            <w:pPr>
              <w:spacing w:after="0" w:line="252" w:lineRule="auto"/>
              <w:rPr>
                <w:rFonts w:hint="eastAsia"/>
                <w:sz w:val="24"/>
                <w:szCs w:val="24"/>
                <w:lang w:eastAsia="zh-CN"/>
              </w:rPr>
            </w:pPr>
            <w:r>
              <w:rPr>
                <w:sz w:val="24"/>
                <w:szCs w:val="24"/>
                <w:lang w:eastAsia="zh-CN"/>
              </w:rPr>
              <w:t>快递柜涉及收件人身份、手机号、地址和取件记录。应将终端控制、云平台权限和异常批量指令纳入风控。</w:t>
            </w:r>
          </w:p>
        </w:tc>
      </w:tr>
      <w:tr w14:paraId="4E3808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12C7968C">
            <w:pPr>
              <w:spacing w:after="0" w:line="252" w:lineRule="auto"/>
              <w:rPr>
                <w:rFonts w:hint="eastAsia"/>
                <w:sz w:val="24"/>
                <w:szCs w:val="24"/>
                <w:lang w:eastAsia="zh-CN"/>
              </w:rPr>
            </w:pPr>
            <w:r>
              <w:rPr>
                <w:sz w:val="24"/>
                <w:szCs w:val="24"/>
                <w:lang w:eastAsia="zh-CN"/>
              </w:rPr>
              <w:t>10. 迪克·切尼心脏除颤器无线连接风险</w:t>
            </w:r>
          </w:p>
        </w:tc>
        <w:tc>
          <w:tcPr>
            <w:tcW w:w="4762" w:type="dxa"/>
            <w:shd w:val="clear" w:color="auto" w:fill="F7F7F7"/>
            <w:vAlign w:val="center"/>
          </w:tcPr>
          <w:p w14:paraId="0DE743B7">
            <w:pPr>
              <w:spacing w:after="0" w:line="252" w:lineRule="auto"/>
              <w:rPr>
                <w:rFonts w:hint="eastAsia"/>
                <w:sz w:val="24"/>
                <w:szCs w:val="24"/>
                <w:lang w:eastAsia="zh-CN"/>
              </w:rPr>
            </w:pPr>
            <w:r>
              <w:rPr>
                <w:sz w:val="24"/>
                <w:szCs w:val="24"/>
                <w:lang w:eastAsia="zh-CN"/>
              </w:rPr>
              <w:t>美国前副总统切尼曾出于安全考虑关闭心脏除颤器无线功能，反映植入式医疗设备远程连接可能被攻击的现实担忧。</w:t>
            </w:r>
          </w:p>
        </w:tc>
        <w:tc>
          <w:tcPr>
            <w:tcW w:w="3969" w:type="dxa"/>
            <w:shd w:val="clear" w:color="auto" w:fill="F7F7F7"/>
            <w:vAlign w:val="center"/>
          </w:tcPr>
          <w:p w14:paraId="7C1D8890">
            <w:pPr>
              <w:spacing w:after="0" w:line="252" w:lineRule="auto"/>
              <w:rPr>
                <w:rFonts w:hint="eastAsia"/>
                <w:sz w:val="24"/>
                <w:szCs w:val="24"/>
                <w:lang w:eastAsia="zh-CN"/>
              </w:rPr>
            </w:pPr>
            <w:r>
              <w:rPr>
                <w:sz w:val="24"/>
                <w:szCs w:val="24"/>
                <w:lang w:eastAsia="zh-CN"/>
              </w:rPr>
              <w:t>医疗器械网络安全规范；对应我国《个人信息保护法》第28条、第51条，《网络安全法》第21条。</w:t>
            </w:r>
          </w:p>
        </w:tc>
        <w:tc>
          <w:tcPr>
            <w:tcW w:w="4536" w:type="dxa"/>
            <w:shd w:val="clear" w:color="auto" w:fill="F7F7F7"/>
            <w:vAlign w:val="center"/>
          </w:tcPr>
          <w:p w14:paraId="140CE84A">
            <w:pPr>
              <w:spacing w:after="0" w:line="252" w:lineRule="auto"/>
              <w:rPr>
                <w:rFonts w:hint="eastAsia"/>
                <w:sz w:val="24"/>
                <w:szCs w:val="24"/>
                <w:lang w:eastAsia="zh-CN"/>
              </w:rPr>
            </w:pPr>
            <w:r>
              <w:rPr>
                <w:sz w:val="24"/>
                <w:szCs w:val="24"/>
                <w:lang w:eastAsia="zh-CN"/>
              </w:rPr>
              <w:t>植入设备安全风险直接关联生命健康，应采取最小连接、加密通信、身份认证和应急关闭机制。</w:t>
            </w:r>
          </w:p>
        </w:tc>
      </w:tr>
      <w:tr w14:paraId="075A8A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6AF75E8">
            <w:pPr>
              <w:spacing w:after="0" w:line="252" w:lineRule="auto"/>
              <w:rPr>
                <w:rFonts w:hint="eastAsia"/>
                <w:sz w:val="24"/>
                <w:szCs w:val="24"/>
              </w:rPr>
            </w:pPr>
            <w:r>
              <w:rPr>
                <w:sz w:val="24"/>
                <w:szCs w:val="24"/>
              </w:rPr>
              <w:t>11. SkyJack 无人机劫持案例</w:t>
            </w:r>
          </w:p>
        </w:tc>
        <w:tc>
          <w:tcPr>
            <w:tcW w:w="4762" w:type="dxa"/>
            <w:vAlign w:val="center"/>
          </w:tcPr>
          <w:p w14:paraId="244B1D53">
            <w:pPr>
              <w:spacing w:after="0" w:line="252" w:lineRule="auto"/>
              <w:rPr>
                <w:rFonts w:hint="eastAsia"/>
                <w:sz w:val="24"/>
                <w:szCs w:val="24"/>
                <w:lang w:eastAsia="zh-CN"/>
              </w:rPr>
            </w:pPr>
            <w:r>
              <w:rPr>
                <w:sz w:val="24"/>
                <w:szCs w:val="24"/>
                <w:lang w:eastAsia="zh-CN"/>
              </w:rPr>
              <w:t>研究者展示通过无线攻击接管无人机的方案，说明消费级无人机在通信认证、控制链路和地理数据方面存在安全隐患。</w:t>
            </w:r>
          </w:p>
        </w:tc>
        <w:tc>
          <w:tcPr>
            <w:tcW w:w="3969" w:type="dxa"/>
            <w:vAlign w:val="center"/>
          </w:tcPr>
          <w:p w14:paraId="70B0BD09">
            <w:pPr>
              <w:spacing w:after="0" w:line="252" w:lineRule="auto"/>
              <w:rPr>
                <w:rFonts w:hint="eastAsia"/>
                <w:sz w:val="24"/>
                <w:szCs w:val="24"/>
                <w:lang w:eastAsia="zh-CN"/>
              </w:rPr>
            </w:pPr>
            <w:r>
              <w:rPr>
                <w:sz w:val="24"/>
                <w:szCs w:val="24"/>
                <w:lang w:eastAsia="zh-CN"/>
              </w:rPr>
              <w:t>《网络安全法》第21条；《数据安全法》第27条；无人机和无线电管理相关规则。</w:t>
            </w:r>
          </w:p>
        </w:tc>
        <w:tc>
          <w:tcPr>
            <w:tcW w:w="4536" w:type="dxa"/>
            <w:vAlign w:val="center"/>
          </w:tcPr>
          <w:p w14:paraId="4750F1D6">
            <w:pPr>
              <w:spacing w:after="0" w:line="252" w:lineRule="auto"/>
              <w:rPr>
                <w:rFonts w:hint="eastAsia"/>
                <w:sz w:val="24"/>
                <w:szCs w:val="24"/>
                <w:lang w:eastAsia="zh-CN"/>
              </w:rPr>
            </w:pPr>
            <w:r>
              <w:rPr>
                <w:sz w:val="24"/>
                <w:szCs w:val="24"/>
                <w:lang w:eastAsia="zh-CN"/>
              </w:rPr>
              <w:t>无人机采集图像、位置和飞行轨迹，应加强设备绑定、控制信道加密、固件签名和禁飞区策略。</w:t>
            </w:r>
          </w:p>
        </w:tc>
      </w:tr>
      <w:tr w14:paraId="360336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377CDF06">
            <w:pPr>
              <w:spacing w:after="0" w:line="252" w:lineRule="auto"/>
              <w:rPr>
                <w:rFonts w:hint="eastAsia"/>
                <w:sz w:val="24"/>
                <w:szCs w:val="24"/>
              </w:rPr>
            </w:pPr>
            <w:r>
              <w:rPr>
                <w:sz w:val="24"/>
                <w:szCs w:val="24"/>
              </w:rPr>
              <w:t>12. 西班牙智能电表漏洞</w:t>
            </w:r>
          </w:p>
        </w:tc>
        <w:tc>
          <w:tcPr>
            <w:tcW w:w="4762" w:type="dxa"/>
            <w:shd w:val="clear" w:color="auto" w:fill="F7F7F7"/>
            <w:vAlign w:val="center"/>
          </w:tcPr>
          <w:p w14:paraId="4C84ACD7">
            <w:pPr>
              <w:spacing w:after="0" w:line="252" w:lineRule="auto"/>
              <w:rPr>
                <w:rFonts w:hint="eastAsia"/>
                <w:sz w:val="24"/>
                <w:szCs w:val="24"/>
                <w:lang w:eastAsia="zh-CN"/>
              </w:rPr>
            </w:pPr>
            <w:r>
              <w:rPr>
                <w:sz w:val="24"/>
                <w:szCs w:val="24"/>
                <w:lang w:eastAsia="zh-CN"/>
              </w:rPr>
              <w:t>智能电表漏洞可能被利用篡改计量、远程断供或获取用电行为数据，进而推断家庭作息和生活规律。</w:t>
            </w:r>
          </w:p>
        </w:tc>
        <w:tc>
          <w:tcPr>
            <w:tcW w:w="3969" w:type="dxa"/>
            <w:shd w:val="clear" w:color="auto" w:fill="F7F7F7"/>
            <w:vAlign w:val="center"/>
          </w:tcPr>
          <w:p w14:paraId="18E78EC5">
            <w:pPr>
              <w:spacing w:after="0" w:line="252" w:lineRule="auto"/>
              <w:rPr>
                <w:rFonts w:hint="eastAsia"/>
                <w:sz w:val="24"/>
                <w:szCs w:val="24"/>
                <w:lang w:eastAsia="zh-CN"/>
              </w:rPr>
            </w:pPr>
            <w:r>
              <w:rPr>
                <w:sz w:val="24"/>
                <w:szCs w:val="24"/>
                <w:lang w:eastAsia="zh-CN"/>
              </w:rPr>
              <w:t>《个人信息保护法》第28条、第51条；《网络安全法》第21条；能源基础设施安全规则。</w:t>
            </w:r>
          </w:p>
        </w:tc>
        <w:tc>
          <w:tcPr>
            <w:tcW w:w="4536" w:type="dxa"/>
            <w:shd w:val="clear" w:color="auto" w:fill="F7F7F7"/>
            <w:vAlign w:val="center"/>
          </w:tcPr>
          <w:p w14:paraId="065CED2B">
            <w:pPr>
              <w:spacing w:after="0" w:line="252" w:lineRule="auto"/>
              <w:rPr>
                <w:rFonts w:hint="eastAsia"/>
                <w:sz w:val="24"/>
                <w:szCs w:val="24"/>
                <w:lang w:eastAsia="zh-CN"/>
              </w:rPr>
            </w:pPr>
            <w:r>
              <w:rPr>
                <w:sz w:val="24"/>
                <w:szCs w:val="24"/>
                <w:lang w:eastAsia="zh-CN"/>
              </w:rPr>
              <w:t>用电数据虽非姓名信息，但可揭示家庭生活模式，应纳入敏感场景的数据安全管理。</w:t>
            </w:r>
          </w:p>
        </w:tc>
      </w:tr>
      <w:tr w14:paraId="4E68EE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455838F">
            <w:pPr>
              <w:spacing w:after="0" w:line="252" w:lineRule="auto"/>
              <w:rPr>
                <w:rFonts w:hint="eastAsia"/>
                <w:sz w:val="24"/>
                <w:szCs w:val="24"/>
                <w:lang w:eastAsia="zh-CN"/>
              </w:rPr>
            </w:pPr>
            <w:r>
              <w:rPr>
                <w:sz w:val="24"/>
                <w:szCs w:val="24"/>
                <w:lang w:eastAsia="zh-CN"/>
              </w:rPr>
              <w:t>13. 2016 年大规模 DDoS 与网络摄像头僵尸网络</w:t>
            </w:r>
          </w:p>
        </w:tc>
        <w:tc>
          <w:tcPr>
            <w:tcW w:w="4762" w:type="dxa"/>
            <w:vAlign w:val="center"/>
          </w:tcPr>
          <w:p w14:paraId="4FA4D054">
            <w:pPr>
              <w:spacing w:after="0" w:line="252" w:lineRule="auto"/>
              <w:rPr>
                <w:rFonts w:hint="eastAsia"/>
                <w:sz w:val="24"/>
                <w:szCs w:val="24"/>
                <w:lang w:eastAsia="zh-CN"/>
              </w:rPr>
            </w:pPr>
            <w:r>
              <w:rPr>
                <w:sz w:val="24"/>
                <w:szCs w:val="24"/>
                <w:lang w:eastAsia="zh-CN"/>
              </w:rPr>
              <w:t>Mirai 等僵尸网络利用大量弱口令摄像头和物联网设备发动 DDoS 攻击，影响互联网基础服务。</w:t>
            </w:r>
          </w:p>
        </w:tc>
        <w:tc>
          <w:tcPr>
            <w:tcW w:w="3969" w:type="dxa"/>
            <w:vAlign w:val="center"/>
          </w:tcPr>
          <w:p w14:paraId="00D8F605">
            <w:pPr>
              <w:spacing w:after="0" w:line="252" w:lineRule="auto"/>
              <w:rPr>
                <w:rFonts w:hint="eastAsia"/>
                <w:sz w:val="24"/>
                <w:szCs w:val="24"/>
                <w:lang w:eastAsia="zh-CN"/>
              </w:rPr>
            </w:pPr>
            <w:r>
              <w:rPr>
                <w:sz w:val="24"/>
                <w:szCs w:val="24"/>
                <w:lang w:eastAsia="zh-CN"/>
              </w:rPr>
              <w:t>《网络安全法》第21条、第25条、第42条；《刑法》破坏计算机信息系统相关规则。</w:t>
            </w:r>
          </w:p>
        </w:tc>
        <w:tc>
          <w:tcPr>
            <w:tcW w:w="4536" w:type="dxa"/>
            <w:vAlign w:val="center"/>
          </w:tcPr>
          <w:p w14:paraId="1E62C694">
            <w:pPr>
              <w:spacing w:after="0" w:line="252" w:lineRule="auto"/>
              <w:rPr>
                <w:rFonts w:hint="eastAsia"/>
                <w:sz w:val="24"/>
                <w:szCs w:val="24"/>
                <w:lang w:eastAsia="zh-CN"/>
              </w:rPr>
            </w:pPr>
            <w:r>
              <w:rPr>
                <w:sz w:val="24"/>
                <w:szCs w:val="24"/>
                <w:lang w:eastAsia="zh-CN"/>
              </w:rPr>
              <w:t>默认口令和不可更新设备会将家庭终端转化为公共网络风险，厂商应禁止通用默认密码并提供长期更新。</w:t>
            </w:r>
          </w:p>
        </w:tc>
      </w:tr>
      <w:tr w14:paraId="64B10D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2A8F24E6">
            <w:pPr>
              <w:spacing w:after="0" w:line="252" w:lineRule="auto"/>
              <w:rPr>
                <w:rFonts w:hint="eastAsia"/>
                <w:sz w:val="24"/>
                <w:szCs w:val="24"/>
              </w:rPr>
            </w:pPr>
            <w:r>
              <w:rPr>
                <w:sz w:val="24"/>
                <w:szCs w:val="24"/>
              </w:rPr>
              <w:t>14. CloudPets 智能玩具语音信息泄露</w:t>
            </w:r>
          </w:p>
        </w:tc>
        <w:tc>
          <w:tcPr>
            <w:tcW w:w="4762" w:type="dxa"/>
            <w:shd w:val="clear" w:color="auto" w:fill="F7F7F7"/>
            <w:vAlign w:val="center"/>
          </w:tcPr>
          <w:p w14:paraId="5087592E">
            <w:pPr>
              <w:spacing w:after="0" w:line="252" w:lineRule="auto"/>
              <w:rPr>
                <w:rFonts w:hint="eastAsia"/>
                <w:sz w:val="24"/>
                <w:szCs w:val="24"/>
                <w:lang w:eastAsia="zh-CN"/>
              </w:rPr>
            </w:pPr>
            <w:r>
              <w:rPr>
                <w:sz w:val="24"/>
                <w:szCs w:val="24"/>
                <w:lang w:eastAsia="zh-CN"/>
              </w:rPr>
              <w:t>CloudPets 智能玩具相关数据库暴露，儿童与家长语音消息和账号信息面临泄露风险。</w:t>
            </w:r>
          </w:p>
        </w:tc>
        <w:tc>
          <w:tcPr>
            <w:tcW w:w="3969" w:type="dxa"/>
            <w:shd w:val="clear" w:color="auto" w:fill="F7F7F7"/>
            <w:vAlign w:val="center"/>
          </w:tcPr>
          <w:p w14:paraId="73751A71">
            <w:pPr>
              <w:spacing w:after="0" w:line="252" w:lineRule="auto"/>
              <w:rPr>
                <w:rFonts w:hint="eastAsia"/>
                <w:sz w:val="24"/>
                <w:szCs w:val="24"/>
                <w:lang w:eastAsia="zh-CN"/>
              </w:rPr>
            </w:pPr>
            <w:r>
              <w:rPr>
                <w:sz w:val="24"/>
                <w:szCs w:val="24"/>
                <w:lang w:eastAsia="zh-CN"/>
              </w:rPr>
              <w:t>儿童隐私保护规则；对应我国《个人信息保护法》第31条、第51条，《未成年人保护法》第72条。</w:t>
            </w:r>
          </w:p>
        </w:tc>
        <w:tc>
          <w:tcPr>
            <w:tcW w:w="4536" w:type="dxa"/>
            <w:shd w:val="clear" w:color="auto" w:fill="F7F7F7"/>
            <w:vAlign w:val="center"/>
          </w:tcPr>
          <w:p w14:paraId="6E844DFE">
            <w:pPr>
              <w:spacing w:after="0" w:line="252" w:lineRule="auto"/>
              <w:rPr>
                <w:rFonts w:hint="eastAsia"/>
                <w:sz w:val="24"/>
                <w:szCs w:val="24"/>
                <w:lang w:eastAsia="zh-CN"/>
              </w:rPr>
            </w:pPr>
            <w:r>
              <w:rPr>
                <w:sz w:val="24"/>
                <w:szCs w:val="24"/>
                <w:lang w:eastAsia="zh-CN"/>
              </w:rPr>
              <w:t>儿童语音和家庭互动数据具有高度敏感性，智能玩具应采用儿童友好默认保护、加密和最小留存。</w:t>
            </w:r>
          </w:p>
        </w:tc>
      </w:tr>
      <w:tr w14:paraId="3CAFA0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76657D2">
            <w:pPr>
              <w:spacing w:after="0" w:line="252" w:lineRule="auto"/>
              <w:rPr>
                <w:rFonts w:hint="eastAsia"/>
                <w:sz w:val="24"/>
                <w:szCs w:val="24"/>
              </w:rPr>
            </w:pPr>
            <w:r>
              <w:rPr>
                <w:sz w:val="24"/>
                <w:szCs w:val="24"/>
              </w:rPr>
              <w:t>15. LG SmartThinQ 智能家居设备漏洞</w:t>
            </w:r>
          </w:p>
        </w:tc>
        <w:tc>
          <w:tcPr>
            <w:tcW w:w="4762" w:type="dxa"/>
            <w:vAlign w:val="center"/>
          </w:tcPr>
          <w:p w14:paraId="2C44196A">
            <w:pPr>
              <w:spacing w:after="0" w:line="252" w:lineRule="auto"/>
              <w:rPr>
                <w:rFonts w:hint="eastAsia"/>
                <w:sz w:val="24"/>
                <w:szCs w:val="24"/>
                <w:lang w:eastAsia="zh-CN"/>
              </w:rPr>
            </w:pPr>
            <w:r>
              <w:rPr>
                <w:sz w:val="24"/>
                <w:szCs w:val="24"/>
                <w:lang w:eastAsia="zh-CN"/>
              </w:rPr>
              <w:t>LG 智能家居生态漏洞可能影响扫地机器人、家电账号和家庭摄像画面等信息安全。</w:t>
            </w:r>
          </w:p>
        </w:tc>
        <w:tc>
          <w:tcPr>
            <w:tcW w:w="3969" w:type="dxa"/>
            <w:vAlign w:val="center"/>
          </w:tcPr>
          <w:p w14:paraId="4B8FB061">
            <w:pPr>
              <w:spacing w:after="0" w:line="252" w:lineRule="auto"/>
              <w:rPr>
                <w:rFonts w:hint="eastAsia"/>
                <w:sz w:val="24"/>
                <w:szCs w:val="24"/>
                <w:lang w:eastAsia="zh-CN"/>
              </w:rPr>
            </w:pPr>
            <w:r>
              <w:rPr>
                <w:sz w:val="24"/>
                <w:szCs w:val="24"/>
                <w:lang w:eastAsia="zh-CN"/>
              </w:rPr>
              <w:t>《个人信息保护法》第28条、第51条；《网络安全法》第21条、第42条。</w:t>
            </w:r>
          </w:p>
        </w:tc>
        <w:tc>
          <w:tcPr>
            <w:tcW w:w="4536" w:type="dxa"/>
            <w:vAlign w:val="center"/>
          </w:tcPr>
          <w:p w14:paraId="626E4DE8">
            <w:pPr>
              <w:spacing w:after="0" w:line="252" w:lineRule="auto"/>
              <w:rPr>
                <w:rFonts w:hint="eastAsia"/>
                <w:sz w:val="24"/>
                <w:szCs w:val="24"/>
                <w:lang w:eastAsia="zh-CN"/>
              </w:rPr>
            </w:pPr>
            <w:r>
              <w:rPr>
                <w:sz w:val="24"/>
                <w:szCs w:val="24"/>
                <w:lang w:eastAsia="zh-CN"/>
              </w:rPr>
              <w:t>智能家居平台一旦账号或云接口被攻破，可能形成家庭空间监控风险，应强化账号安全和设备隔离。</w:t>
            </w:r>
          </w:p>
        </w:tc>
      </w:tr>
      <w:tr w14:paraId="58EB5A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38BB011F">
            <w:pPr>
              <w:spacing w:after="0" w:line="252" w:lineRule="auto"/>
              <w:rPr>
                <w:rFonts w:hint="eastAsia"/>
                <w:sz w:val="24"/>
                <w:szCs w:val="24"/>
              </w:rPr>
            </w:pPr>
            <w:r>
              <w:rPr>
                <w:sz w:val="24"/>
                <w:szCs w:val="24"/>
              </w:rPr>
              <w:t>16. 智慧城市系统 17 个漏洞</w:t>
            </w:r>
          </w:p>
        </w:tc>
        <w:tc>
          <w:tcPr>
            <w:tcW w:w="4762" w:type="dxa"/>
            <w:shd w:val="clear" w:color="auto" w:fill="F7F7F7"/>
            <w:vAlign w:val="center"/>
          </w:tcPr>
          <w:p w14:paraId="7926DCFF">
            <w:pPr>
              <w:spacing w:after="0" w:line="252" w:lineRule="auto"/>
              <w:rPr>
                <w:rFonts w:hint="eastAsia"/>
                <w:sz w:val="24"/>
                <w:szCs w:val="24"/>
                <w:lang w:eastAsia="zh-CN"/>
              </w:rPr>
            </w:pPr>
            <w:r>
              <w:rPr>
                <w:sz w:val="24"/>
                <w:szCs w:val="24"/>
                <w:lang w:eastAsia="zh-CN"/>
              </w:rPr>
              <w:t>研究披露智慧城市相关系统存在多个漏洞，可能影响交通、能源、公共服务等城市级设备与数据。</w:t>
            </w:r>
          </w:p>
        </w:tc>
        <w:tc>
          <w:tcPr>
            <w:tcW w:w="3969" w:type="dxa"/>
            <w:shd w:val="clear" w:color="auto" w:fill="F7F7F7"/>
            <w:vAlign w:val="center"/>
          </w:tcPr>
          <w:p w14:paraId="62F92190">
            <w:pPr>
              <w:spacing w:after="0" w:line="252" w:lineRule="auto"/>
              <w:rPr>
                <w:rFonts w:hint="eastAsia"/>
                <w:sz w:val="24"/>
                <w:szCs w:val="24"/>
                <w:lang w:eastAsia="zh-CN"/>
              </w:rPr>
            </w:pPr>
            <w:r>
              <w:rPr>
                <w:sz w:val="24"/>
                <w:szCs w:val="24"/>
                <w:lang w:eastAsia="zh-CN"/>
              </w:rPr>
              <w:t>《网络安全法》第21条；《数据安全法》第27条、第29条；关键信息基础设施安全保护规则。</w:t>
            </w:r>
          </w:p>
        </w:tc>
        <w:tc>
          <w:tcPr>
            <w:tcW w:w="4536" w:type="dxa"/>
            <w:shd w:val="clear" w:color="auto" w:fill="F7F7F7"/>
            <w:vAlign w:val="center"/>
          </w:tcPr>
          <w:p w14:paraId="0A898621">
            <w:pPr>
              <w:spacing w:after="0" w:line="252" w:lineRule="auto"/>
              <w:rPr>
                <w:rFonts w:hint="eastAsia"/>
                <w:sz w:val="24"/>
                <w:szCs w:val="24"/>
                <w:lang w:eastAsia="zh-CN"/>
              </w:rPr>
            </w:pPr>
            <w:r>
              <w:rPr>
                <w:sz w:val="24"/>
                <w:szCs w:val="24"/>
                <w:lang w:eastAsia="zh-CN"/>
              </w:rPr>
              <w:t>智慧城市系统应从单点设备安全转向体系化资产管理、漏洞扫描、分级保护和供应商安全审计。</w:t>
            </w:r>
          </w:p>
        </w:tc>
      </w:tr>
      <w:tr w14:paraId="2EBF66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7F36222">
            <w:pPr>
              <w:spacing w:after="0" w:line="252" w:lineRule="auto"/>
              <w:rPr>
                <w:rFonts w:hint="eastAsia"/>
                <w:sz w:val="24"/>
                <w:szCs w:val="24"/>
                <w:lang w:eastAsia="zh-CN"/>
              </w:rPr>
            </w:pPr>
            <w:r>
              <w:rPr>
                <w:sz w:val="24"/>
                <w:szCs w:val="24"/>
                <w:lang w:eastAsia="zh-CN"/>
              </w:rPr>
              <w:t>17. 特斯拉等车辆遥控钥匙系统漏洞</w:t>
            </w:r>
          </w:p>
        </w:tc>
        <w:tc>
          <w:tcPr>
            <w:tcW w:w="4762" w:type="dxa"/>
            <w:vAlign w:val="center"/>
          </w:tcPr>
          <w:p w14:paraId="2F08945C">
            <w:pPr>
              <w:spacing w:after="0" w:line="252" w:lineRule="auto"/>
              <w:rPr>
                <w:rFonts w:hint="eastAsia"/>
                <w:sz w:val="24"/>
                <w:szCs w:val="24"/>
                <w:lang w:eastAsia="zh-CN"/>
              </w:rPr>
            </w:pPr>
            <w:r>
              <w:rPr>
                <w:sz w:val="24"/>
                <w:szCs w:val="24"/>
                <w:lang w:eastAsia="zh-CN"/>
              </w:rPr>
              <w:t>车辆无钥匙进入或遥控钥匙系统存在中继攻击等风险，可能导致车辆被盗或远程功能被滥用。</w:t>
            </w:r>
          </w:p>
        </w:tc>
        <w:tc>
          <w:tcPr>
            <w:tcW w:w="3969" w:type="dxa"/>
            <w:vAlign w:val="center"/>
          </w:tcPr>
          <w:p w14:paraId="77305760">
            <w:pPr>
              <w:spacing w:after="0" w:line="252" w:lineRule="auto"/>
              <w:rPr>
                <w:rFonts w:hint="eastAsia"/>
                <w:sz w:val="24"/>
                <w:szCs w:val="24"/>
                <w:lang w:eastAsia="zh-CN"/>
              </w:rPr>
            </w:pPr>
            <w:r>
              <w:rPr>
                <w:sz w:val="24"/>
                <w:szCs w:val="24"/>
                <w:lang w:eastAsia="zh-CN"/>
              </w:rPr>
              <w:t>《网络安全法》第21条；《个人信息保护法》第51条；汽车网络安全和产品安全规则。</w:t>
            </w:r>
          </w:p>
        </w:tc>
        <w:tc>
          <w:tcPr>
            <w:tcW w:w="4536" w:type="dxa"/>
            <w:vAlign w:val="center"/>
          </w:tcPr>
          <w:p w14:paraId="1494E26F">
            <w:pPr>
              <w:spacing w:after="0" w:line="252" w:lineRule="auto"/>
              <w:rPr>
                <w:rFonts w:hint="eastAsia"/>
                <w:sz w:val="24"/>
                <w:szCs w:val="24"/>
                <w:lang w:eastAsia="zh-CN"/>
              </w:rPr>
            </w:pPr>
            <w:r>
              <w:rPr>
                <w:sz w:val="24"/>
                <w:szCs w:val="24"/>
                <w:lang w:eastAsia="zh-CN"/>
              </w:rPr>
              <w:t>车辆身份认证与用户财产安全紧密相关，应加强密钥更新、距离验证、异常告警和售后补丁。</w:t>
            </w:r>
          </w:p>
        </w:tc>
      </w:tr>
      <w:tr w14:paraId="435E0E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7FD7ECA9">
            <w:pPr>
              <w:spacing w:after="0" w:line="252" w:lineRule="auto"/>
              <w:rPr>
                <w:rFonts w:hint="eastAsia"/>
                <w:sz w:val="24"/>
                <w:szCs w:val="24"/>
              </w:rPr>
            </w:pPr>
            <w:r>
              <w:rPr>
                <w:sz w:val="24"/>
                <w:szCs w:val="24"/>
              </w:rPr>
              <w:t>18. 亚马逊 FreeRTOS 及 AWS 连接模块漏洞案例</w:t>
            </w:r>
          </w:p>
        </w:tc>
        <w:tc>
          <w:tcPr>
            <w:tcW w:w="4762" w:type="dxa"/>
            <w:shd w:val="clear" w:color="auto" w:fill="F7F7F7"/>
            <w:vAlign w:val="center"/>
          </w:tcPr>
          <w:p w14:paraId="199F0AF4">
            <w:pPr>
              <w:spacing w:after="0" w:line="252" w:lineRule="auto"/>
              <w:rPr>
                <w:rFonts w:hint="eastAsia"/>
                <w:sz w:val="24"/>
                <w:szCs w:val="24"/>
              </w:rPr>
            </w:pPr>
            <w:r>
              <w:rPr>
                <w:sz w:val="24"/>
                <w:szCs w:val="24"/>
              </w:rPr>
              <w:t>FreeRTOS/AWS IoT 连接模块曾被披露漏洞，可能影响大量嵌入式设备与云端通信安全。</w:t>
            </w:r>
          </w:p>
        </w:tc>
        <w:tc>
          <w:tcPr>
            <w:tcW w:w="3969" w:type="dxa"/>
            <w:shd w:val="clear" w:color="auto" w:fill="F7F7F7"/>
            <w:vAlign w:val="center"/>
          </w:tcPr>
          <w:p w14:paraId="0573FA5A">
            <w:pPr>
              <w:spacing w:after="0" w:line="252" w:lineRule="auto"/>
              <w:rPr>
                <w:rFonts w:hint="eastAsia"/>
                <w:sz w:val="24"/>
                <w:szCs w:val="24"/>
                <w:lang w:eastAsia="zh-CN"/>
              </w:rPr>
            </w:pPr>
            <w:r>
              <w:rPr>
                <w:sz w:val="24"/>
                <w:szCs w:val="24"/>
                <w:lang w:eastAsia="zh-CN"/>
              </w:rPr>
              <w:t>《网络安全法》第21条；《数据安全法》第27条；供应链安全和开源组件治理规则。</w:t>
            </w:r>
          </w:p>
        </w:tc>
        <w:tc>
          <w:tcPr>
            <w:tcW w:w="4536" w:type="dxa"/>
            <w:shd w:val="clear" w:color="auto" w:fill="F7F7F7"/>
            <w:vAlign w:val="center"/>
          </w:tcPr>
          <w:p w14:paraId="4D57FBA7">
            <w:pPr>
              <w:spacing w:after="0" w:line="252" w:lineRule="auto"/>
              <w:rPr>
                <w:rFonts w:hint="eastAsia"/>
                <w:sz w:val="24"/>
                <w:szCs w:val="24"/>
                <w:lang w:eastAsia="zh-CN"/>
              </w:rPr>
            </w:pPr>
            <w:r>
              <w:rPr>
                <w:sz w:val="24"/>
                <w:szCs w:val="24"/>
                <w:lang w:eastAsia="zh-CN"/>
              </w:rPr>
              <w:t>开源组件和云连接模块应建立 SBOM、漏洞跟踪、依赖升级和安全测试流程。</w:t>
            </w:r>
          </w:p>
        </w:tc>
      </w:tr>
      <w:tr w14:paraId="17FDB1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A6EC0F0">
            <w:pPr>
              <w:spacing w:after="0" w:line="252" w:lineRule="auto"/>
              <w:rPr>
                <w:rFonts w:hint="eastAsia"/>
                <w:sz w:val="24"/>
                <w:szCs w:val="24"/>
                <w:lang w:eastAsia="zh-CN"/>
              </w:rPr>
            </w:pPr>
            <w:r>
              <w:rPr>
                <w:sz w:val="24"/>
                <w:szCs w:val="24"/>
                <w:lang w:eastAsia="zh-CN"/>
              </w:rPr>
              <w:t>19. 医疗器械软件安全不足与心脏起搏器漏洞</w:t>
            </w:r>
          </w:p>
        </w:tc>
        <w:tc>
          <w:tcPr>
            <w:tcW w:w="4762" w:type="dxa"/>
            <w:vAlign w:val="center"/>
          </w:tcPr>
          <w:p w14:paraId="55EC64D1">
            <w:pPr>
              <w:spacing w:after="0" w:line="252" w:lineRule="auto"/>
              <w:rPr>
                <w:rFonts w:hint="eastAsia"/>
                <w:sz w:val="24"/>
                <w:szCs w:val="24"/>
                <w:lang w:eastAsia="zh-CN"/>
              </w:rPr>
            </w:pPr>
            <w:r>
              <w:rPr>
                <w:sz w:val="24"/>
                <w:szCs w:val="24"/>
                <w:lang w:eastAsia="zh-CN"/>
              </w:rPr>
              <w:t>部分医疗器械软件和心脏起搏器被披露网络安全漏洞，可能影响设备运行、患者数据和生命安全。</w:t>
            </w:r>
          </w:p>
        </w:tc>
        <w:tc>
          <w:tcPr>
            <w:tcW w:w="3969" w:type="dxa"/>
            <w:vAlign w:val="center"/>
          </w:tcPr>
          <w:p w14:paraId="68E49784">
            <w:pPr>
              <w:spacing w:after="0" w:line="252" w:lineRule="auto"/>
              <w:rPr>
                <w:rFonts w:hint="eastAsia"/>
                <w:sz w:val="24"/>
                <w:szCs w:val="24"/>
                <w:lang w:eastAsia="zh-CN"/>
              </w:rPr>
            </w:pPr>
            <w:r>
              <w:rPr>
                <w:sz w:val="24"/>
                <w:szCs w:val="24"/>
                <w:lang w:eastAsia="zh-CN"/>
              </w:rPr>
              <w:t>医疗器械监管规则；《个人信息保护法》第28条、第51条；《网络安全法》第21条。</w:t>
            </w:r>
          </w:p>
        </w:tc>
        <w:tc>
          <w:tcPr>
            <w:tcW w:w="4536" w:type="dxa"/>
            <w:vAlign w:val="center"/>
          </w:tcPr>
          <w:p w14:paraId="24958AE1">
            <w:pPr>
              <w:spacing w:after="0" w:line="252" w:lineRule="auto"/>
              <w:rPr>
                <w:rFonts w:hint="eastAsia"/>
                <w:sz w:val="24"/>
                <w:szCs w:val="24"/>
                <w:lang w:eastAsia="zh-CN"/>
              </w:rPr>
            </w:pPr>
            <w:r>
              <w:rPr>
                <w:sz w:val="24"/>
                <w:szCs w:val="24"/>
                <w:lang w:eastAsia="zh-CN"/>
              </w:rPr>
              <w:t>医疗器械网络安全应进入设计、注册、运维和召回全生命周期，而非事后补丁化治理。</w:t>
            </w:r>
          </w:p>
        </w:tc>
      </w:tr>
      <w:tr w14:paraId="308545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7A802AB4">
            <w:pPr>
              <w:spacing w:after="0" w:line="252" w:lineRule="auto"/>
              <w:rPr>
                <w:rFonts w:hint="eastAsia"/>
                <w:sz w:val="24"/>
                <w:szCs w:val="24"/>
                <w:lang w:eastAsia="zh-CN"/>
              </w:rPr>
            </w:pPr>
            <w:r>
              <w:rPr>
                <w:sz w:val="24"/>
                <w:szCs w:val="24"/>
                <w:lang w:eastAsia="zh-CN"/>
              </w:rPr>
              <w:t>20. 区块链存证在合同纠纷中的应用</w:t>
            </w:r>
          </w:p>
        </w:tc>
        <w:tc>
          <w:tcPr>
            <w:tcW w:w="4762" w:type="dxa"/>
            <w:shd w:val="clear" w:color="auto" w:fill="F7F7F7"/>
            <w:vAlign w:val="center"/>
          </w:tcPr>
          <w:p w14:paraId="21F329B0">
            <w:pPr>
              <w:spacing w:after="0" w:line="252" w:lineRule="auto"/>
              <w:rPr>
                <w:rFonts w:hint="eastAsia"/>
                <w:sz w:val="24"/>
                <w:szCs w:val="24"/>
                <w:lang w:eastAsia="zh-CN"/>
              </w:rPr>
            </w:pPr>
            <w:r>
              <w:rPr>
                <w:sz w:val="24"/>
                <w:szCs w:val="24"/>
                <w:lang w:eastAsia="zh-CN"/>
              </w:rPr>
              <w:t>电子合同、交易记录等通过区块链进行哈希存证，用于证明数据形成时间、完整性和未篡改性。</w:t>
            </w:r>
          </w:p>
        </w:tc>
        <w:tc>
          <w:tcPr>
            <w:tcW w:w="3969" w:type="dxa"/>
            <w:shd w:val="clear" w:color="auto" w:fill="F7F7F7"/>
            <w:vAlign w:val="center"/>
          </w:tcPr>
          <w:p w14:paraId="089306CE">
            <w:pPr>
              <w:spacing w:after="0" w:line="252" w:lineRule="auto"/>
              <w:rPr>
                <w:rFonts w:hint="eastAsia"/>
                <w:sz w:val="24"/>
                <w:szCs w:val="24"/>
                <w:lang w:eastAsia="zh-CN"/>
              </w:rPr>
            </w:pPr>
            <w:r>
              <w:rPr>
                <w:sz w:val="24"/>
                <w:szCs w:val="24"/>
                <w:lang w:eastAsia="zh-CN"/>
              </w:rPr>
              <w:t>《民事诉讼法》电子数据规则；《最高人民法院关于互联网法院审理案件若干问题的规定》；电子签名与电子数据证据规则。</w:t>
            </w:r>
          </w:p>
        </w:tc>
        <w:tc>
          <w:tcPr>
            <w:tcW w:w="4536" w:type="dxa"/>
            <w:shd w:val="clear" w:color="auto" w:fill="F7F7F7"/>
            <w:vAlign w:val="center"/>
          </w:tcPr>
          <w:p w14:paraId="0B78B35A">
            <w:pPr>
              <w:spacing w:after="0" w:line="252" w:lineRule="auto"/>
              <w:rPr>
                <w:rFonts w:hint="eastAsia"/>
                <w:sz w:val="24"/>
                <w:szCs w:val="24"/>
                <w:lang w:eastAsia="zh-CN"/>
              </w:rPr>
            </w:pPr>
            <w:r>
              <w:rPr>
                <w:sz w:val="24"/>
                <w:szCs w:val="24"/>
                <w:lang w:eastAsia="zh-CN"/>
              </w:rPr>
              <w:t>区块链可增强真实性与完整性，但不能替代对取证主体、数据来源、授权范围和关联性的法律审查。</w:t>
            </w:r>
          </w:p>
        </w:tc>
      </w:tr>
      <w:tr w14:paraId="636EB5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3B90C9B">
            <w:pPr>
              <w:spacing w:after="0" w:line="252" w:lineRule="auto"/>
              <w:rPr>
                <w:rFonts w:hint="eastAsia"/>
                <w:sz w:val="24"/>
                <w:szCs w:val="24"/>
                <w:lang w:eastAsia="zh-CN"/>
              </w:rPr>
            </w:pPr>
            <w:r>
              <w:rPr>
                <w:sz w:val="24"/>
                <w:szCs w:val="24"/>
                <w:lang w:eastAsia="zh-CN"/>
              </w:rPr>
              <w:t>21. 吉林市船营区法院金融借款电子签名验证案例</w:t>
            </w:r>
          </w:p>
        </w:tc>
        <w:tc>
          <w:tcPr>
            <w:tcW w:w="4762" w:type="dxa"/>
            <w:vAlign w:val="center"/>
          </w:tcPr>
          <w:p w14:paraId="6D254A15">
            <w:pPr>
              <w:spacing w:after="0" w:line="252" w:lineRule="auto"/>
              <w:rPr>
                <w:rFonts w:hint="eastAsia"/>
                <w:sz w:val="24"/>
                <w:szCs w:val="24"/>
                <w:lang w:eastAsia="zh-CN"/>
              </w:rPr>
            </w:pPr>
            <w:r>
              <w:rPr>
                <w:sz w:val="24"/>
                <w:szCs w:val="24"/>
                <w:lang w:eastAsia="zh-CN"/>
              </w:rPr>
              <w:t>法院在金融借款纠纷中审查电子签名、电子合同和交易记录，验证签署过程与身份认证。</w:t>
            </w:r>
          </w:p>
        </w:tc>
        <w:tc>
          <w:tcPr>
            <w:tcW w:w="3969" w:type="dxa"/>
            <w:vAlign w:val="center"/>
          </w:tcPr>
          <w:p w14:paraId="4A97F52C">
            <w:pPr>
              <w:spacing w:after="0" w:line="252" w:lineRule="auto"/>
              <w:rPr>
                <w:rFonts w:hint="eastAsia"/>
                <w:sz w:val="24"/>
                <w:szCs w:val="24"/>
                <w:lang w:eastAsia="zh-CN"/>
              </w:rPr>
            </w:pPr>
            <w:r>
              <w:rPr>
                <w:sz w:val="24"/>
                <w:szCs w:val="24"/>
                <w:lang w:eastAsia="zh-CN"/>
              </w:rPr>
              <w:t>《电子签名法》；《民事诉讼法》电子数据规则；最高法电子数据证据相关规定。</w:t>
            </w:r>
          </w:p>
        </w:tc>
        <w:tc>
          <w:tcPr>
            <w:tcW w:w="4536" w:type="dxa"/>
            <w:vAlign w:val="center"/>
          </w:tcPr>
          <w:p w14:paraId="42A58867">
            <w:pPr>
              <w:spacing w:after="0" w:line="252" w:lineRule="auto"/>
              <w:rPr>
                <w:rFonts w:hint="eastAsia"/>
                <w:sz w:val="24"/>
                <w:szCs w:val="24"/>
                <w:lang w:eastAsia="zh-CN"/>
              </w:rPr>
            </w:pPr>
            <w:r>
              <w:rPr>
                <w:sz w:val="24"/>
                <w:szCs w:val="24"/>
                <w:lang w:eastAsia="zh-CN"/>
              </w:rPr>
              <w:t>电子签名的证明力取决于身份认证、签署流程、日志、证书和系统安全，而非仅有电子文档。</w:t>
            </w:r>
          </w:p>
        </w:tc>
      </w:tr>
      <w:tr w14:paraId="5E3DDB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29259C0E">
            <w:pPr>
              <w:spacing w:after="0" w:line="252" w:lineRule="auto"/>
              <w:rPr>
                <w:rFonts w:hint="eastAsia"/>
                <w:sz w:val="24"/>
                <w:szCs w:val="24"/>
                <w:lang w:eastAsia="zh-CN"/>
              </w:rPr>
            </w:pPr>
            <w:r>
              <w:rPr>
                <w:sz w:val="24"/>
                <w:szCs w:val="24"/>
                <w:lang w:eastAsia="zh-CN"/>
              </w:rPr>
              <w:t>22. “云剑”行动命案积案攻坚案例</w:t>
            </w:r>
          </w:p>
        </w:tc>
        <w:tc>
          <w:tcPr>
            <w:tcW w:w="4762" w:type="dxa"/>
            <w:shd w:val="clear" w:color="auto" w:fill="F7F7F7"/>
            <w:vAlign w:val="center"/>
          </w:tcPr>
          <w:p w14:paraId="22E08C1F">
            <w:pPr>
              <w:spacing w:after="0" w:line="252" w:lineRule="auto"/>
              <w:rPr>
                <w:rFonts w:hint="eastAsia"/>
                <w:sz w:val="24"/>
                <w:szCs w:val="24"/>
                <w:lang w:eastAsia="zh-CN"/>
              </w:rPr>
            </w:pPr>
            <w:r>
              <w:rPr>
                <w:sz w:val="24"/>
                <w:szCs w:val="24"/>
                <w:lang w:eastAsia="zh-CN"/>
              </w:rPr>
              <w:t>公安机关通过数据比对、人像识别、轨迹分析等技术对命案积案进行线索发现和嫌疑人锁定。</w:t>
            </w:r>
          </w:p>
        </w:tc>
        <w:tc>
          <w:tcPr>
            <w:tcW w:w="3969" w:type="dxa"/>
            <w:shd w:val="clear" w:color="auto" w:fill="F7F7F7"/>
            <w:vAlign w:val="center"/>
          </w:tcPr>
          <w:p w14:paraId="1B6C3C3C">
            <w:pPr>
              <w:spacing w:after="0" w:line="252" w:lineRule="auto"/>
              <w:rPr>
                <w:rFonts w:hint="eastAsia"/>
                <w:sz w:val="24"/>
                <w:szCs w:val="24"/>
                <w:lang w:eastAsia="zh-CN"/>
              </w:rPr>
            </w:pPr>
            <w:r>
              <w:rPr>
                <w:sz w:val="24"/>
                <w:szCs w:val="24"/>
                <w:lang w:eastAsia="zh-CN"/>
              </w:rPr>
              <w:t>《刑事诉讼法》侦查取证规则；个人信息保护和公安机关数据安全管理规则。</w:t>
            </w:r>
          </w:p>
        </w:tc>
        <w:tc>
          <w:tcPr>
            <w:tcW w:w="4536" w:type="dxa"/>
            <w:shd w:val="clear" w:color="auto" w:fill="F7F7F7"/>
            <w:vAlign w:val="center"/>
          </w:tcPr>
          <w:p w14:paraId="224F7B67">
            <w:pPr>
              <w:spacing w:after="0" w:line="252" w:lineRule="auto"/>
              <w:rPr>
                <w:rFonts w:hint="eastAsia"/>
                <w:sz w:val="24"/>
                <w:szCs w:val="24"/>
                <w:lang w:eastAsia="zh-CN"/>
              </w:rPr>
            </w:pPr>
            <w:r>
              <w:rPr>
                <w:sz w:val="24"/>
                <w:szCs w:val="24"/>
                <w:lang w:eastAsia="zh-CN"/>
              </w:rPr>
              <w:t>智慧侦查提升效率，但应坚持法定权限、必要性、关联性和程序留痕，避免泛化调取第三方信息。</w:t>
            </w:r>
          </w:p>
        </w:tc>
      </w:tr>
      <w:tr w14:paraId="73B660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6143F92">
            <w:pPr>
              <w:spacing w:after="0" w:line="252" w:lineRule="auto"/>
              <w:rPr>
                <w:rFonts w:hint="eastAsia"/>
                <w:sz w:val="24"/>
                <w:szCs w:val="24"/>
                <w:lang w:eastAsia="zh-CN"/>
              </w:rPr>
            </w:pPr>
            <w:r>
              <w:rPr>
                <w:sz w:val="24"/>
                <w:szCs w:val="24"/>
                <w:lang w:eastAsia="zh-CN"/>
              </w:rPr>
              <w:t>23. “团圆”行动打拐寻亲案例</w:t>
            </w:r>
          </w:p>
        </w:tc>
        <w:tc>
          <w:tcPr>
            <w:tcW w:w="4762" w:type="dxa"/>
            <w:vAlign w:val="center"/>
          </w:tcPr>
          <w:p w14:paraId="51D788E6">
            <w:pPr>
              <w:spacing w:after="0" w:line="252" w:lineRule="auto"/>
              <w:rPr>
                <w:rFonts w:hint="eastAsia"/>
                <w:sz w:val="24"/>
                <w:szCs w:val="24"/>
                <w:lang w:eastAsia="zh-CN"/>
              </w:rPr>
            </w:pPr>
            <w:r>
              <w:rPr>
                <w:sz w:val="24"/>
                <w:szCs w:val="24"/>
                <w:lang w:eastAsia="zh-CN"/>
              </w:rPr>
              <w:t>公安机关通过 DNA、人口信息、人像比对等技术协助查找失踪被拐儿童和身份确认。</w:t>
            </w:r>
          </w:p>
        </w:tc>
        <w:tc>
          <w:tcPr>
            <w:tcW w:w="3969" w:type="dxa"/>
            <w:vAlign w:val="center"/>
          </w:tcPr>
          <w:p w14:paraId="54ABB69F">
            <w:pPr>
              <w:spacing w:after="0" w:line="252" w:lineRule="auto"/>
              <w:rPr>
                <w:rFonts w:hint="eastAsia"/>
                <w:sz w:val="24"/>
                <w:szCs w:val="24"/>
                <w:lang w:eastAsia="zh-CN"/>
              </w:rPr>
            </w:pPr>
            <w:r>
              <w:rPr>
                <w:sz w:val="24"/>
                <w:szCs w:val="24"/>
                <w:lang w:eastAsia="zh-CN"/>
              </w:rPr>
              <w:t>《刑事诉讼法》；《个人信息保护法》第13条关于履行法定职责和公共利益场景；公安 DNA 数据管理规则。</w:t>
            </w:r>
          </w:p>
        </w:tc>
        <w:tc>
          <w:tcPr>
            <w:tcW w:w="4536" w:type="dxa"/>
            <w:vAlign w:val="center"/>
          </w:tcPr>
          <w:p w14:paraId="5A89CE26">
            <w:pPr>
              <w:spacing w:after="0" w:line="252" w:lineRule="auto"/>
              <w:rPr>
                <w:rFonts w:hint="eastAsia"/>
                <w:sz w:val="24"/>
                <w:szCs w:val="24"/>
                <w:lang w:eastAsia="zh-CN"/>
              </w:rPr>
            </w:pPr>
            <w:r>
              <w:rPr>
                <w:sz w:val="24"/>
                <w:szCs w:val="24"/>
                <w:lang w:eastAsia="zh-CN"/>
              </w:rPr>
              <w:t>公益目的和法定职责可支撑特定数据处理，但应控制用途、保存期限、访问权限和亲属隐私牵连。</w:t>
            </w:r>
          </w:p>
        </w:tc>
      </w:tr>
      <w:tr w14:paraId="53C4DF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36962B12">
            <w:pPr>
              <w:spacing w:after="0" w:line="252" w:lineRule="auto"/>
              <w:rPr>
                <w:rFonts w:hint="eastAsia"/>
                <w:sz w:val="24"/>
                <w:szCs w:val="24"/>
                <w:lang w:eastAsia="zh-CN"/>
              </w:rPr>
            </w:pPr>
            <w:r>
              <w:rPr>
                <w:sz w:val="24"/>
                <w:szCs w:val="24"/>
                <w:lang w:eastAsia="zh-CN"/>
              </w:rPr>
              <w:t>24. 交通违法治理中的人脸与车脸识别</w:t>
            </w:r>
          </w:p>
        </w:tc>
        <w:tc>
          <w:tcPr>
            <w:tcW w:w="4762" w:type="dxa"/>
            <w:shd w:val="clear" w:color="auto" w:fill="F7F7F7"/>
            <w:vAlign w:val="center"/>
          </w:tcPr>
          <w:p w14:paraId="39FF2C94">
            <w:pPr>
              <w:spacing w:after="0" w:line="252" w:lineRule="auto"/>
              <w:rPr>
                <w:rFonts w:hint="eastAsia"/>
                <w:sz w:val="24"/>
                <w:szCs w:val="24"/>
                <w:lang w:eastAsia="zh-CN"/>
              </w:rPr>
            </w:pPr>
            <w:r>
              <w:rPr>
                <w:sz w:val="24"/>
                <w:szCs w:val="24"/>
                <w:lang w:eastAsia="zh-CN"/>
              </w:rPr>
              <w:t>交通治理中使用人脸、车牌、车辆特征识别技术发现违法线索和实施执法。</w:t>
            </w:r>
          </w:p>
        </w:tc>
        <w:tc>
          <w:tcPr>
            <w:tcW w:w="3969" w:type="dxa"/>
            <w:shd w:val="clear" w:color="auto" w:fill="F7F7F7"/>
            <w:vAlign w:val="center"/>
          </w:tcPr>
          <w:p w14:paraId="0D5DF7D8">
            <w:pPr>
              <w:spacing w:after="0" w:line="252" w:lineRule="auto"/>
              <w:rPr>
                <w:rFonts w:hint="eastAsia"/>
                <w:sz w:val="24"/>
                <w:szCs w:val="24"/>
                <w:lang w:eastAsia="zh-CN"/>
              </w:rPr>
            </w:pPr>
            <w:r>
              <w:rPr>
                <w:sz w:val="24"/>
                <w:szCs w:val="24"/>
                <w:lang w:eastAsia="zh-CN"/>
              </w:rPr>
              <w:t>《个人信息保护法》第28条、第29条、第51条；道路交通安全管理规则；行政执法程序规则。</w:t>
            </w:r>
          </w:p>
        </w:tc>
        <w:tc>
          <w:tcPr>
            <w:tcW w:w="4536" w:type="dxa"/>
            <w:shd w:val="clear" w:color="auto" w:fill="F7F7F7"/>
            <w:vAlign w:val="center"/>
          </w:tcPr>
          <w:p w14:paraId="68F9D748">
            <w:pPr>
              <w:spacing w:after="0" w:line="252" w:lineRule="auto"/>
              <w:rPr>
                <w:rFonts w:hint="eastAsia"/>
                <w:sz w:val="24"/>
                <w:szCs w:val="24"/>
                <w:lang w:eastAsia="zh-CN"/>
              </w:rPr>
            </w:pPr>
            <w:r>
              <w:rPr>
                <w:sz w:val="24"/>
                <w:szCs w:val="24"/>
                <w:lang w:eastAsia="zh-CN"/>
              </w:rPr>
              <w:t>生物识别和车辆轨迹具有敏感性。执法技术应有明确法定依据、必要范围、准确率审查和异议救济。</w:t>
            </w:r>
          </w:p>
        </w:tc>
      </w:tr>
      <w:tr w14:paraId="0DA641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2C835CB">
            <w:pPr>
              <w:spacing w:after="0" w:line="252" w:lineRule="auto"/>
              <w:rPr>
                <w:rFonts w:hint="eastAsia"/>
                <w:sz w:val="24"/>
                <w:szCs w:val="24"/>
                <w:lang w:eastAsia="zh-CN"/>
              </w:rPr>
            </w:pPr>
            <w:r>
              <w:rPr>
                <w:sz w:val="24"/>
                <w:szCs w:val="24"/>
                <w:lang w:eastAsia="zh-CN"/>
              </w:rPr>
              <w:t>25. 哈尔滨平房分局银行盗窃案视频识别</w:t>
            </w:r>
          </w:p>
        </w:tc>
        <w:tc>
          <w:tcPr>
            <w:tcW w:w="4762" w:type="dxa"/>
            <w:vAlign w:val="center"/>
          </w:tcPr>
          <w:p w14:paraId="15C48850">
            <w:pPr>
              <w:spacing w:after="0" w:line="252" w:lineRule="auto"/>
              <w:rPr>
                <w:rFonts w:hint="eastAsia"/>
                <w:sz w:val="24"/>
                <w:szCs w:val="24"/>
                <w:lang w:eastAsia="zh-CN"/>
              </w:rPr>
            </w:pPr>
            <w:r>
              <w:rPr>
                <w:sz w:val="24"/>
                <w:szCs w:val="24"/>
                <w:lang w:eastAsia="zh-CN"/>
              </w:rPr>
              <w:t>警方通过视频识别和图像分析技术在银行盗窃案件中锁定嫌疑对象或重建行动轨迹。</w:t>
            </w:r>
          </w:p>
        </w:tc>
        <w:tc>
          <w:tcPr>
            <w:tcW w:w="3969" w:type="dxa"/>
            <w:vAlign w:val="center"/>
          </w:tcPr>
          <w:p w14:paraId="2FAE1731">
            <w:pPr>
              <w:spacing w:after="0" w:line="252" w:lineRule="auto"/>
              <w:rPr>
                <w:rFonts w:hint="eastAsia"/>
                <w:sz w:val="24"/>
                <w:szCs w:val="24"/>
                <w:lang w:eastAsia="zh-CN"/>
              </w:rPr>
            </w:pPr>
            <w:r>
              <w:rPr>
                <w:sz w:val="24"/>
                <w:szCs w:val="24"/>
                <w:lang w:eastAsia="zh-CN"/>
              </w:rPr>
              <w:t>《刑事诉讼法》；电子数据、视听资料证据规则；个人信息保护相关规则。</w:t>
            </w:r>
          </w:p>
        </w:tc>
        <w:tc>
          <w:tcPr>
            <w:tcW w:w="4536" w:type="dxa"/>
            <w:vAlign w:val="center"/>
          </w:tcPr>
          <w:p w14:paraId="44BC7A22">
            <w:pPr>
              <w:spacing w:after="0" w:line="252" w:lineRule="auto"/>
              <w:rPr>
                <w:rFonts w:hint="eastAsia"/>
                <w:sz w:val="24"/>
                <w:szCs w:val="24"/>
                <w:lang w:eastAsia="zh-CN"/>
              </w:rPr>
            </w:pPr>
            <w:r>
              <w:rPr>
                <w:sz w:val="24"/>
                <w:szCs w:val="24"/>
                <w:lang w:eastAsia="zh-CN"/>
              </w:rPr>
              <w:t>视频识别可作为线索和证据来源，但需说明提取、保存、比对和鉴定流程，防止算法结果不可质证。</w:t>
            </w:r>
          </w:p>
        </w:tc>
      </w:tr>
      <w:tr w14:paraId="14B09E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3E1FE2A5">
            <w:pPr>
              <w:spacing w:after="0" w:line="252" w:lineRule="auto"/>
              <w:rPr>
                <w:rFonts w:hint="eastAsia"/>
                <w:sz w:val="24"/>
                <w:szCs w:val="24"/>
              </w:rPr>
            </w:pPr>
            <w:r>
              <w:rPr>
                <w:sz w:val="24"/>
                <w:szCs w:val="24"/>
              </w:rPr>
              <w:t>26. e-CarS 涉车犯罪打击案例</w:t>
            </w:r>
          </w:p>
        </w:tc>
        <w:tc>
          <w:tcPr>
            <w:tcW w:w="4762" w:type="dxa"/>
            <w:shd w:val="clear" w:color="auto" w:fill="F7F7F7"/>
            <w:vAlign w:val="center"/>
          </w:tcPr>
          <w:p w14:paraId="6846B8B8">
            <w:pPr>
              <w:spacing w:after="0" w:line="252" w:lineRule="auto"/>
              <w:rPr>
                <w:rFonts w:hint="eastAsia"/>
                <w:sz w:val="24"/>
                <w:szCs w:val="24"/>
                <w:lang w:eastAsia="zh-CN"/>
              </w:rPr>
            </w:pPr>
            <w:r>
              <w:rPr>
                <w:sz w:val="24"/>
                <w:szCs w:val="24"/>
                <w:lang w:eastAsia="zh-CN"/>
              </w:rPr>
              <w:t>涉车犯罪治理系统通过车辆识别、轨迹和关联分析辅助发现盗抢、套牌等犯罪线索。</w:t>
            </w:r>
          </w:p>
        </w:tc>
        <w:tc>
          <w:tcPr>
            <w:tcW w:w="3969" w:type="dxa"/>
            <w:shd w:val="clear" w:color="auto" w:fill="F7F7F7"/>
            <w:vAlign w:val="center"/>
          </w:tcPr>
          <w:p w14:paraId="7C295071">
            <w:pPr>
              <w:spacing w:after="0" w:line="252" w:lineRule="auto"/>
              <w:rPr>
                <w:rFonts w:hint="eastAsia"/>
                <w:sz w:val="24"/>
                <w:szCs w:val="24"/>
                <w:lang w:eastAsia="zh-CN"/>
              </w:rPr>
            </w:pPr>
            <w:r>
              <w:rPr>
                <w:sz w:val="24"/>
                <w:szCs w:val="24"/>
                <w:lang w:eastAsia="zh-CN"/>
              </w:rPr>
              <w:t>《刑事诉讼法》；道路交通与公安数据管理规则；个人信息保护和数据安全规则。</w:t>
            </w:r>
          </w:p>
        </w:tc>
        <w:tc>
          <w:tcPr>
            <w:tcW w:w="4536" w:type="dxa"/>
            <w:shd w:val="clear" w:color="auto" w:fill="F7F7F7"/>
            <w:vAlign w:val="center"/>
          </w:tcPr>
          <w:p w14:paraId="58000AF1">
            <w:pPr>
              <w:spacing w:after="0" w:line="252" w:lineRule="auto"/>
              <w:rPr>
                <w:rFonts w:hint="eastAsia"/>
                <w:sz w:val="24"/>
                <w:szCs w:val="24"/>
                <w:lang w:eastAsia="zh-CN"/>
              </w:rPr>
            </w:pPr>
            <w:r>
              <w:rPr>
                <w:sz w:val="24"/>
                <w:szCs w:val="24"/>
                <w:lang w:eastAsia="zh-CN"/>
              </w:rPr>
              <w:t>车辆轨迹分析容易牵连无关车主和同行人员，应设置关联性阈值、人工复核和日志审计。</w:t>
            </w:r>
          </w:p>
        </w:tc>
      </w:tr>
      <w:tr w14:paraId="750820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6B15AB9">
            <w:pPr>
              <w:spacing w:after="0" w:line="252" w:lineRule="auto"/>
              <w:rPr>
                <w:rFonts w:hint="eastAsia"/>
                <w:sz w:val="24"/>
                <w:szCs w:val="24"/>
                <w:lang w:eastAsia="zh-CN"/>
              </w:rPr>
            </w:pPr>
            <w:r>
              <w:rPr>
                <w:sz w:val="24"/>
                <w:szCs w:val="24"/>
                <w:lang w:eastAsia="zh-CN"/>
              </w:rPr>
              <w:t>27. 广东“视频云+”社会治安防控案例</w:t>
            </w:r>
          </w:p>
        </w:tc>
        <w:tc>
          <w:tcPr>
            <w:tcW w:w="4762" w:type="dxa"/>
            <w:vAlign w:val="center"/>
          </w:tcPr>
          <w:p w14:paraId="6CF24964">
            <w:pPr>
              <w:spacing w:after="0" w:line="252" w:lineRule="auto"/>
              <w:rPr>
                <w:rFonts w:hint="eastAsia"/>
                <w:sz w:val="24"/>
                <w:szCs w:val="24"/>
                <w:lang w:eastAsia="zh-CN"/>
              </w:rPr>
            </w:pPr>
            <w:r>
              <w:rPr>
                <w:sz w:val="24"/>
                <w:szCs w:val="24"/>
                <w:lang w:eastAsia="zh-CN"/>
              </w:rPr>
              <w:t>广东通过视频云平台整合视频资源，用于社会治安防控、警情研判和线索追踪。</w:t>
            </w:r>
          </w:p>
        </w:tc>
        <w:tc>
          <w:tcPr>
            <w:tcW w:w="3969" w:type="dxa"/>
            <w:vAlign w:val="center"/>
          </w:tcPr>
          <w:p w14:paraId="25F66788">
            <w:pPr>
              <w:spacing w:after="0" w:line="252" w:lineRule="auto"/>
              <w:rPr>
                <w:rFonts w:hint="eastAsia"/>
                <w:sz w:val="24"/>
                <w:szCs w:val="24"/>
                <w:lang w:eastAsia="zh-CN"/>
              </w:rPr>
            </w:pPr>
            <w:r>
              <w:rPr>
                <w:sz w:val="24"/>
                <w:szCs w:val="24"/>
                <w:lang w:eastAsia="zh-CN"/>
              </w:rPr>
              <w:t>《网络安全法》《数据安全法》《个人信息保护法》；公共视频图像信息系统管理相关规则。</w:t>
            </w:r>
          </w:p>
        </w:tc>
        <w:tc>
          <w:tcPr>
            <w:tcW w:w="4536" w:type="dxa"/>
            <w:vAlign w:val="center"/>
          </w:tcPr>
          <w:p w14:paraId="78EE9CF3">
            <w:pPr>
              <w:spacing w:after="0" w:line="252" w:lineRule="auto"/>
              <w:rPr>
                <w:rFonts w:hint="eastAsia"/>
                <w:sz w:val="24"/>
                <w:szCs w:val="24"/>
                <w:lang w:eastAsia="zh-CN"/>
              </w:rPr>
            </w:pPr>
            <w:r>
              <w:rPr>
                <w:sz w:val="24"/>
                <w:szCs w:val="24"/>
                <w:lang w:eastAsia="zh-CN"/>
              </w:rPr>
              <w:t>公共视频治理应避免无限汇聚和无目的留存，重点在权限管理、用途控制、调用审批和滥用追责。</w:t>
            </w:r>
          </w:p>
        </w:tc>
      </w:tr>
      <w:tr w14:paraId="677060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53D74D0C">
            <w:pPr>
              <w:spacing w:after="0" w:line="252" w:lineRule="auto"/>
              <w:rPr>
                <w:rFonts w:hint="eastAsia"/>
                <w:sz w:val="24"/>
                <w:szCs w:val="24"/>
                <w:lang w:eastAsia="zh-CN"/>
              </w:rPr>
            </w:pPr>
            <w:r>
              <w:rPr>
                <w:sz w:val="24"/>
                <w:szCs w:val="24"/>
                <w:lang w:eastAsia="zh-CN"/>
              </w:rPr>
              <w:t>28. 重庆 VCS 视频侦查快速办案案例</w:t>
            </w:r>
          </w:p>
        </w:tc>
        <w:tc>
          <w:tcPr>
            <w:tcW w:w="4762" w:type="dxa"/>
            <w:shd w:val="clear" w:color="auto" w:fill="F7F7F7"/>
            <w:vAlign w:val="center"/>
          </w:tcPr>
          <w:p w14:paraId="05B39982">
            <w:pPr>
              <w:spacing w:after="0" w:line="252" w:lineRule="auto"/>
              <w:rPr>
                <w:rFonts w:hint="eastAsia"/>
                <w:sz w:val="24"/>
                <w:szCs w:val="24"/>
                <w:lang w:eastAsia="zh-CN"/>
              </w:rPr>
            </w:pPr>
            <w:r>
              <w:rPr>
                <w:sz w:val="24"/>
                <w:szCs w:val="24"/>
                <w:lang w:eastAsia="zh-CN"/>
              </w:rPr>
              <w:t>重庆运用 VCS 视频侦查系统实现视频检索、轨迹追踪和案件快速办理。</w:t>
            </w:r>
          </w:p>
        </w:tc>
        <w:tc>
          <w:tcPr>
            <w:tcW w:w="3969" w:type="dxa"/>
            <w:shd w:val="clear" w:color="auto" w:fill="F7F7F7"/>
            <w:vAlign w:val="center"/>
          </w:tcPr>
          <w:p w14:paraId="5614C307">
            <w:pPr>
              <w:spacing w:after="0" w:line="252" w:lineRule="auto"/>
              <w:rPr>
                <w:rFonts w:hint="eastAsia"/>
                <w:sz w:val="24"/>
                <w:szCs w:val="24"/>
                <w:lang w:eastAsia="zh-CN"/>
              </w:rPr>
            </w:pPr>
            <w:r>
              <w:rPr>
                <w:sz w:val="24"/>
                <w:szCs w:val="24"/>
                <w:lang w:eastAsia="zh-CN"/>
              </w:rPr>
              <w:t>《刑事诉讼法》；电子数据和视听资料证据规则；个人信息保护相关规则。</w:t>
            </w:r>
          </w:p>
        </w:tc>
        <w:tc>
          <w:tcPr>
            <w:tcW w:w="4536" w:type="dxa"/>
            <w:shd w:val="clear" w:color="auto" w:fill="F7F7F7"/>
            <w:vAlign w:val="center"/>
          </w:tcPr>
          <w:p w14:paraId="758AC339">
            <w:pPr>
              <w:spacing w:after="0" w:line="252" w:lineRule="auto"/>
              <w:rPr>
                <w:rFonts w:hint="eastAsia"/>
                <w:sz w:val="24"/>
                <w:szCs w:val="24"/>
                <w:lang w:eastAsia="zh-CN"/>
              </w:rPr>
            </w:pPr>
            <w:r>
              <w:rPr>
                <w:sz w:val="24"/>
                <w:szCs w:val="24"/>
                <w:lang w:eastAsia="zh-CN"/>
              </w:rPr>
              <w:t>视频侦查的效率优势不能替代证据合法性审查，应保留原始视频、检索条件和操作日志。</w:t>
            </w:r>
          </w:p>
        </w:tc>
      </w:tr>
      <w:tr w14:paraId="5C7BB2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D26DC4A">
            <w:pPr>
              <w:spacing w:after="0" w:line="252" w:lineRule="auto"/>
              <w:rPr>
                <w:rFonts w:hint="eastAsia"/>
                <w:sz w:val="24"/>
                <w:szCs w:val="24"/>
                <w:lang w:eastAsia="zh-CN"/>
              </w:rPr>
            </w:pPr>
            <w:r>
              <w:rPr>
                <w:sz w:val="24"/>
                <w:szCs w:val="24"/>
                <w:lang w:eastAsia="zh-CN"/>
              </w:rPr>
              <w:t>29. 温州特大持枪绑架案电子物证恢复</w:t>
            </w:r>
          </w:p>
        </w:tc>
        <w:tc>
          <w:tcPr>
            <w:tcW w:w="4762" w:type="dxa"/>
            <w:vAlign w:val="center"/>
          </w:tcPr>
          <w:p w14:paraId="36DDEE55">
            <w:pPr>
              <w:spacing w:after="0" w:line="252" w:lineRule="auto"/>
              <w:rPr>
                <w:rFonts w:hint="eastAsia"/>
                <w:sz w:val="24"/>
                <w:szCs w:val="24"/>
                <w:lang w:eastAsia="zh-CN"/>
              </w:rPr>
            </w:pPr>
            <w:r>
              <w:rPr>
                <w:sz w:val="24"/>
                <w:szCs w:val="24"/>
                <w:lang w:eastAsia="zh-CN"/>
              </w:rPr>
              <w:t>办案中通过电子物证恢复技术提取、恢复手机或存储介质中的关键数据，用于证明案件事实。</w:t>
            </w:r>
          </w:p>
        </w:tc>
        <w:tc>
          <w:tcPr>
            <w:tcW w:w="3969" w:type="dxa"/>
            <w:vAlign w:val="center"/>
          </w:tcPr>
          <w:p w14:paraId="7B0CF87C">
            <w:pPr>
              <w:spacing w:after="0" w:line="252" w:lineRule="auto"/>
              <w:rPr>
                <w:rFonts w:hint="eastAsia"/>
                <w:sz w:val="24"/>
                <w:szCs w:val="24"/>
                <w:lang w:eastAsia="zh-CN"/>
              </w:rPr>
            </w:pPr>
            <w:r>
              <w:rPr>
                <w:sz w:val="24"/>
                <w:szCs w:val="24"/>
                <w:lang w:eastAsia="zh-CN"/>
              </w:rPr>
              <w:t>《刑事诉讼法》；电子数据取证、封存、校验和鉴定规则。</w:t>
            </w:r>
          </w:p>
        </w:tc>
        <w:tc>
          <w:tcPr>
            <w:tcW w:w="4536" w:type="dxa"/>
            <w:vAlign w:val="center"/>
          </w:tcPr>
          <w:p w14:paraId="3BA5A36F">
            <w:pPr>
              <w:spacing w:after="0" w:line="252" w:lineRule="auto"/>
              <w:rPr>
                <w:rFonts w:hint="eastAsia"/>
                <w:sz w:val="24"/>
                <w:szCs w:val="24"/>
                <w:lang w:eastAsia="zh-CN"/>
              </w:rPr>
            </w:pPr>
            <w:r>
              <w:rPr>
                <w:sz w:val="24"/>
                <w:szCs w:val="24"/>
                <w:lang w:eastAsia="zh-CN"/>
              </w:rPr>
              <w:t>数据恢复应确保证据链完整，包括取证主体、镜像、哈希校验、封存和鉴定意见可质证。</w:t>
            </w:r>
          </w:p>
        </w:tc>
      </w:tr>
      <w:tr w14:paraId="22669F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1089A473">
            <w:pPr>
              <w:spacing w:after="0" w:line="252" w:lineRule="auto"/>
              <w:rPr>
                <w:rFonts w:hint="eastAsia"/>
                <w:sz w:val="24"/>
                <w:szCs w:val="24"/>
                <w:lang w:eastAsia="zh-CN"/>
              </w:rPr>
            </w:pPr>
            <w:r>
              <w:rPr>
                <w:sz w:val="24"/>
                <w:szCs w:val="24"/>
                <w:lang w:eastAsia="zh-CN"/>
              </w:rPr>
              <w:t>30. 2018 年“尼泊尔跨境电诈专案”电子物证恢复</w:t>
            </w:r>
          </w:p>
        </w:tc>
        <w:tc>
          <w:tcPr>
            <w:tcW w:w="4762" w:type="dxa"/>
            <w:shd w:val="clear" w:color="auto" w:fill="F7F7F7"/>
            <w:vAlign w:val="center"/>
          </w:tcPr>
          <w:p w14:paraId="0B76934B">
            <w:pPr>
              <w:spacing w:after="0" w:line="252" w:lineRule="auto"/>
              <w:rPr>
                <w:rFonts w:hint="eastAsia"/>
                <w:sz w:val="24"/>
                <w:szCs w:val="24"/>
                <w:lang w:eastAsia="zh-CN"/>
              </w:rPr>
            </w:pPr>
            <w:r>
              <w:rPr>
                <w:sz w:val="24"/>
                <w:szCs w:val="24"/>
                <w:lang w:eastAsia="zh-CN"/>
              </w:rPr>
              <w:t>跨境电诈案件中，办案机关通过电子物证恢复和数据分析固定涉案设备、聊天、交易等证据。</w:t>
            </w:r>
          </w:p>
        </w:tc>
        <w:tc>
          <w:tcPr>
            <w:tcW w:w="3969" w:type="dxa"/>
            <w:shd w:val="clear" w:color="auto" w:fill="F7F7F7"/>
            <w:vAlign w:val="center"/>
          </w:tcPr>
          <w:p w14:paraId="5EFD4A9C">
            <w:pPr>
              <w:spacing w:after="0" w:line="252" w:lineRule="auto"/>
              <w:rPr>
                <w:rFonts w:hint="eastAsia"/>
                <w:sz w:val="24"/>
                <w:szCs w:val="24"/>
                <w:lang w:eastAsia="zh-CN"/>
              </w:rPr>
            </w:pPr>
            <w:r>
              <w:rPr>
                <w:sz w:val="24"/>
                <w:szCs w:val="24"/>
                <w:lang w:eastAsia="zh-CN"/>
              </w:rPr>
              <w:t>《刑事诉讼法》；跨境取证协作规则；电子数据证据规则。</w:t>
            </w:r>
          </w:p>
        </w:tc>
        <w:tc>
          <w:tcPr>
            <w:tcW w:w="4536" w:type="dxa"/>
            <w:shd w:val="clear" w:color="auto" w:fill="F7F7F7"/>
            <w:vAlign w:val="center"/>
          </w:tcPr>
          <w:p w14:paraId="36241C83">
            <w:pPr>
              <w:spacing w:after="0" w:line="252" w:lineRule="auto"/>
              <w:rPr>
                <w:rFonts w:hint="eastAsia"/>
                <w:sz w:val="24"/>
                <w:szCs w:val="24"/>
                <w:lang w:eastAsia="zh-CN"/>
              </w:rPr>
            </w:pPr>
            <w:r>
              <w:rPr>
                <w:sz w:val="24"/>
                <w:szCs w:val="24"/>
                <w:lang w:eastAsia="zh-CN"/>
              </w:rPr>
              <w:t>跨境电子证据需兼顾来源合法性、完整性、翻译/转化准确性和境外协作程序。</w:t>
            </w:r>
          </w:p>
        </w:tc>
      </w:tr>
      <w:tr w14:paraId="009341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5F8A6BA">
            <w:pPr>
              <w:spacing w:after="0" w:line="252" w:lineRule="auto"/>
              <w:rPr>
                <w:rFonts w:hint="eastAsia"/>
                <w:sz w:val="24"/>
                <w:szCs w:val="24"/>
                <w:lang w:eastAsia="zh-CN"/>
              </w:rPr>
            </w:pPr>
            <w:r>
              <w:rPr>
                <w:sz w:val="24"/>
                <w:szCs w:val="24"/>
                <w:lang w:eastAsia="zh-CN"/>
              </w:rPr>
              <w:t>31. 校园霸凌故意伤害案中删除视频恢复</w:t>
            </w:r>
          </w:p>
        </w:tc>
        <w:tc>
          <w:tcPr>
            <w:tcW w:w="4762" w:type="dxa"/>
            <w:vAlign w:val="center"/>
          </w:tcPr>
          <w:p w14:paraId="3F212229">
            <w:pPr>
              <w:spacing w:after="0" w:line="252" w:lineRule="auto"/>
              <w:rPr>
                <w:rFonts w:hint="eastAsia"/>
                <w:sz w:val="24"/>
                <w:szCs w:val="24"/>
                <w:lang w:eastAsia="zh-CN"/>
              </w:rPr>
            </w:pPr>
            <w:r>
              <w:rPr>
                <w:sz w:val="24"/>
                <w:szCs w:val="24"/>
                <w:lang w:eastAsia="zh-CN"/>
              </w:rPr>
              <w:t>校园霸凌案件中，通过技术手段恢复被删除视频，辅助证明侵害过程和责任分配。</w:t>
            </w:r>
          </w:p>
        </w:tc>
        <w:tc>
          <w:tcPr>
            <w:tcW w:w="3969" w:type="dxa"/>
            <w:vAlign w:val="center"/>
          </w:tcPr>
          <w:p w14:paraId="75284AA5">
            <w:pPr>
              <w:spacing w:after="0" w:line="252" w:lineRule="auto"/>
              <w:rPr>
                <w:rFonts w:hint="eastAsia"/>
                <w:sz w:val="24"/>
                <w:szCs w:val="24"/>
                <w:lang w:eastAsia="zh-CN"/>
              </w:rPr>
            </w:pPr>
            <w:r>
              <w:rPr>
                <w:sz w:val="24"/>
                <w:szCs w:val="24"/>
                <w:lang w:eastAsia="zh-CN"/>
              </w:rPr>
              <w:t>《刑事诉讼法》或《民事诉讼法》证据规则；未成年人保护相关规则。</w:t>
            </w:r>
          </w:p>
        </w:tc>
        <w:tc>
          <w:tcPr>
            <w:tcW w:w="4536" w:type="dxa"/>
            <w:vAlign w:val="center"/>
          </w:tcPr>
          <w:p w14:paraId="25C48E49">
            <w:pPr>
              <w:spacing w:after="0" w:line="252" w:lineRule="auto"/>
              <w:rPr>
                <w:rFonts w:hint="eastAsia"/>
                <w:sz w:val="24"/>
                <w:szCs w:val="24"/>
                <w:lang w:eastAsia="zh-CN"/>
              </w:rPr>
            </w:pPr>
            <w:r>
              <w:rPr>
                <w:sz w:val="24"/>
                <w:szCs w:val="24"/>
                <w:lang w:eastAsia="zh-CN"/>
              </w:rPr>
              <w:t>恢复视频可提升事实查明能力，但涉及未成年人隐私，应限制展示、传播和二次使用。</w:t>
            </w:r>
          </w:p>
        </w:tc>
      </w:tr>
      <w:tr w14:paraId="74237F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2C38B0E5">
            <w:pPr>
              <w:spacing w:after="0" w:line="252" w:lineRule="auto"/>
              <w:rPr>
                <w:rFonts w:hint="eastAsia"/>
                <w:sz w:val="24"/>
                <w:szCs w:val="24"/>
                <w:lang w:eastAsia="zh-CN"/>
              </w:rPr>
            </w:pPr>
            <w:r>
              <w:rPr>
                <w:sz w:val="24"/>
                <w:szCs w:val="24"/>
                <w:lang w:eastAsia="zh-CN"/>
              </w:rPr>
              <w:t>32. 网络性侵威胁案中微信撤回记录与云端日志</w:t>
            </w:r>
          </w:p>
        </w:tc>
        <w:tc>
          <w:tcPr>
            <w:tcW w:w="4762" w:type="dxa"/>
            <w:shd w:val="clear" w:color="auto" w:fill="F7F7F7"/>
            <w:vAlign w:val="center"/>
          </w:tcPr>
          <w:p w14:paraId="15E70E99">
            <w:pPr>
              <w:spacing w:after="0" w:line="252" w:lineRule="auto"/>
              <w:rPr>
                <w:rFonts w:hint="eastAsia"/>
                <w:sz w:val="24"/>
                <w:szCs w:val="24"/>
                <w:lang w:eastAsia="zh-CN"/>
              </w:rPr>
            </w:pPr>
            <w:r>
              <w:rPr>
                <w:sz w:val="24"/>
                <w:szCs w:val="24"/>
                <w:lang w:eastAsia="zh-CN"/>
              </w:rPr>
              <w:t>网络性侵或威胁案件中，办案机关调取或恢复微信撤回记录、云端日志等电子数据，证明威胁、诱导或传播行为。</w:t>
            </w:r>
          </w:p>
        </w:tc>
        <w:tc>
          <w:tcPr>
            <w:tcW w:w="3969" w:type="dxa"/>
            <w:shd w:val="clear" w:color="auto" w:fill="F7F7F7"/>
            <w:vAlign w:val="center"/>
          </w:tcPr>
          <w:p w14:paraId="5C27B48C">
            <w:pPr>
              <w:spacing w:after="0" w:line="252" w:lineRule="auto"/>
              <w:rPr>
                <w:rFonts w:hint="eastAsia"/>
                <w:sz w:val="24"/>
                <w:szCs w:val="24"/>
                <w:lang w:eastAsia="zh-CN"/>
              </w:rPr>
            </w:pPr>
            <w:r>
              <w:rPr>
                <w:sz w:val="24"/>
                <w:szCs w:val="24"/>
                <w:lang w:eastAsia="zh-CN"/>
              </w:rPr>
              <w:t>《刑事诉讼法》；电子数据证据规则；个人信息和通信隐私保护规则。</w:t>
            </w:r>
          </w:p>
        </w:tc>
        <w:tc>
          <w:tcPr>
            <w:tcW w:w="4536" w:type="dxa"/>
            <w:shd w:val="clear" w:color="auto" w:fill="F7F7F7"/>
            <w:vAlign w:val="center"/>
          </w:tcPr>
          <w:p w14:paraId="7A464073">
            <w:pPr>
              <w:spacing w:after="0" w:line="252" w:lineRule="auto"/>
              <w:rPr>
                <w:rFonts w:hint="eastAsia"/>
                <w:sz w:val="24"/>
                <w:szCs w:val="24"/>
                <w:lang w:eastAsia="zh-CN"/>
              </w:rPr>
            </w:pPr>
            <w:r>
              <w:rPr>
                <w:sz w:val="24"/>
                <w:szCs w:val="24"/>
                <w:lang w:eastAsia="zh-CN"/>
              </w:rPr>
              <w:t>通信记录调取应有明确案件关联和审批程序，既要保障被害人权益，也要防止过度调取无关聊天。</w:t>
            </w:r>
          </w:p>
        </w:tc>
      </w:tr>
      <w:tr w14:paraId="2E223A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0D9780A">
            <w:pPr>
              <w:spacing w:after="0" w:line="252" w:lineRule="auto"/>
              <w:rPr>
                <w:rFonts w:hint="eastAsia"/>
                <w:sz w:val="24"/>
                <w:szCs w:val="24"/>
              </w:rPr>
            </w:pPr>
            <w:r>
              <w:rPr>
                <w:sz w:val="24"/>
                <w:szCs w:val="24"/>
              </w:rPr>
              <w:t>33. 案件中的 3D 证据管理</w:t>
            </w:r>
          </w:p>
        </w:tc>
        <w:tc>
          <w:tcPr>
            <w:tcW w:w="4762" w:type="dxa"/>
            <w:vAlign w:val="center"/>
          </w:tcPr>
          <w:p w14:paraId="01DED11B">
            <w:pPr>
              <w:spacing w:after="0" w:line="252" w:lineRule="auto"/>
              <w:rPr>
                <w:rFonts w:hint="eastAsia"/>
                <w:sz w:val="24"/>
                <w:szCs w:val="24"/>
                <w:lang w:eastAsia="zh-CN"/>
              </w:rPr>
            </w:pPr>
            <w:r>
              <w:rPr>
                <w:sz w:val="24"/>
                <w:szCs w:val="24"/>
                <w:lang w:eastAsia="zh-CN"/>
              </w:rPr>
              <w:t>通过 3D 建模、现场重建和证据管理技术展示案发现场、物证位置和行为路径。</w:t>
            </w:r>
          </w:p>
        </w:tc>
        <w:tc>
          <w:tcPr>
            <w:tcW w:w="3969" w:type="dxa"/>
            <w:vAlign w:val="center"/>
          </w:tcPr>
          <w:p w14:paraId="5C08B87F">
            <w:pPr>
              <w:spacing w:after="0" w:line="252" w:lineRule="auto"/>
              <w:rPr>
                <w:rFonts w:hint="eastAsia"/>
                <w:sz w:val="24"/>
                <w:szCs w:val="24"/>
                <w:lang w:eastAsia="zh-CN"/>
              </w:rPr>
            </w:pPr>
            <w:r>
              <w:rPr>
                <w:sz w:val="24"/>
                <w:szCs w:val="24"/>
                <w:lang w:eastAsia="zh-CN"/>
              </w:rPr>
              <w:t>《刑事诉讼法》证据规则；司法鉴定和视听资料规则。</w:t>
            </w:r>
          </w:p>
        </w:tc>
        <w:tc>
          <w:tcPr>
            <w:tcW w:w="4536" w:type="dxa"/>
            <w:vAlign w:val="center"/>
          </w:tcPr>
          <w:p w14:paraId="559AC91D">
            <w:pPr>
              <w:spacing w:after="0" w:line="252" w:lineRule="auto"/>
              <w:rPr>
                <w:rFonts w:hint="eastAsia"/>
                <w:sz w:val="24"/>
                <w:szCs w:val="24"/>
                <w:lang w:eastAsia="zh-CN"/>
              </w:rPr>
            </w:pPr>
            <w:r>
              <w:rPr>
                <w:sz w:val="24"/>
                <w:szCs w:val="24"/>
                <w:lang w:eastAsia="zh-CN"/>
              </w:rPr>
              <w:t>3D 技术应作为辅助展示和分析工具，基础仍是原始证据、建模依据和专家可质证说明。</w:t>
            </w:r>
          </w:p>
        </w:tc>
      </w:tr>
      <w:tr w14:paraId="753497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72262A5F">
            <w:pPr>
              <w:spacing w:after="0" w:line="252" w:lineRule="auto"/>
              <w:rPr>
                <w:rFonts w:hint="eastAsia"/>
                <w:sz w:val="24"/>
                <w:szCs w:val="24"/>
                <w:lang w:eastAsia="zh-CN"/>
              </w:rPr>
            </w:pPr>
            <w:r>
              <w:rPr>
                <w:sz w:val="24"/>
                <w:szCs w:val="24"/>
                <w:lang w:eastAsia="zh-CN"/>
              </w:rPr>
              <w:t>34. 以色列 IPS 公司数字取证几何比较案例</w:t>
            </w:r>
          </w:p>
        </w:tc>
        <w:tc>
          <w:tcPr>
            <w:tcW w:w="4762" w:type="dxa"/>
            <w:shd w:val="clear" w:color="auto" w:fill="F7F7F7"/>
            <w:vAlign w:val="center"/>
          </w:tcPr>
          <w:p w14:paraId="3D3472E0">
            <w:pPr>
              <w:spacing w:after="0" w:line="252" w:lineRule="auto"/>
              <w:rPr>
                <w:rFonts w:hint="eastAsia"/>
                <w:sz w:val="24"/>
                <w:szCs w:val="24"/>
                <w:lang w:eastAsia="zh-CN"/>
              </w:rPr>
            </w:pPr>
            <w:r>
              <w:rPr>
                <w:sz w:val="24"/>
                <w:szCs w:val="24"/>
                <w:lang w:eastAsia="zh-CN"/>
              </w:rPr>
              <w:t>数字取证机构通过几何比较技术分析图像或视频中的目标、角度、距离等，辅助证据真实性或同一性判断。</w:t>
            </w:r>
          </w:p>
        </w:tc>
        <w:tc>
          <w:tcPr>
            <w:tcW w:w="3969" w:type="dxa"/>
            <w:shd w:val="clear" w:color="auto" w:fill="F7F7F7"/>
            <w:vAlign w:val="center"/>
          </w:tcPr>
          <w:p w14:paraId="2027D8AA">
            <w:pPr>
              <w:spacing w:after="0" w:line="252" w:lineRule="auto"/>
              <w:rPr>
                <w:rFonts w:hint="eastAsia"/>
                <w:sz w:val="24"/>
                <w:szCs w:val="24"/>
                <w:lang w:eastAsia="zh-CN"/>
              </w:rPr>
            </w:pPr>
            <w:r>
              <w:rPr>
                <w:sz w:val="24"/>
                <w:szCs w:val="24"/>
                <w:lang w:eastAsia="zh-CN"/>
              </w:rPr>
              <w:t>司法鉴定规则；电子数据和视听资料证据规则。</w:t>
            </w:r>
          </w:p>
        </w:tc>
        <w:tc>
          <w:tcPr>
            <w:tcW w:w="4536" w:type="dxa"/>
            <w:shd w:val="clear" w:color="auto" w:fill="F7F7F7"/>
            <w:vAlign w:val="center"/>
          </w:tcPr>
          <w:p w14:paraId="33AFAAB4">
            <w:pPr>
              <w:spacing w:after="0" w:line="252" w:lineRule="auto"/>
              <w:rPr>
                <w:rFonts w:hint="eastAsia"/>
                <w:sz w:val="24"/>
                <w:szCs w:val="24"/>
                <w:lang w:eastAsia="zh-CN"/>
              </w:rPr>
            </w:pPr>
            <w:r>
              <w:rPr>
                <w:sz w:val="24"/>
                <w:szCs w:val="24"/>
                <w:lang w:eastAsia="zh-CN"/>
              </w:rPr>
              <w:t>技术鉴定应说明方法、误差率、样本来源和专家资质，避免算法黑箱直接影响裁判。</w:t>
            </w:r>
          </w:p>
        </w:tc>
      </w:tr>
      <w:tr w14:paraId="2430D7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D92C700">
            <w:pPr>
              <w:spacing w:after="0" w:line="252" w:lineRule="auto"/>
              <w:rPr>
                <w:rFonts w:hint="eastAsia"/>
                <w:sz w:val="24"/>
                <w:szCs w:val="24"/>
                <w:lang w:eastAsia="zh-CN"/>
              </w:rPr>
            </w:pPr>
            <w:r>
              <w:rPr>
                <w:sz w:val="24"/>
                <w:szCs w:val="24"/>
                <w:lang w:eastAsia="zh-CN"/>
              </w:rPr>
              <w:t>35. 黎巴嫩贝鲁特港口爆炸伪造视频鉴定</w:t>
            </w:r>
          </w:p>
        </w:tc>
        <w:tc>
          <w:tcPr>
            <w:tcW w:w="4762" w:type="dxa"/>
            <w:vAlign w:val="center"/>
          </w:tcPr>
          <w:p w14:paraId="02E934BA">
            <w:pPr>
              <w:spacing w:after="0" w:line="252" w:lineRule="auto"/>
              <w:rPr>
                <w:rFonts w:hint="eastAsia"/>
                <w:sz w:val="24"/>
                <w:szCs w:val="24"/>
                <w:lang w:eastAsia="zh-CN"/>
              </w:rPr>
            </w:pPr>
            <w:r>
              <w:rPr>
                <w:sz w:val="24"/>
                <w:szCs w:val="24"/>
                <w:lang w:eastAsia="zh-CN"/>
              </w:rPr>
              <w:t>贝鲁特港口爆炸事件中，数字取证技术识别出伪造视频中插入导弹画面的造假行为，揭露不实信息。</w:t>
            </w:r>
          </w:p>
        </w:tc>
        <w:tc>
          <w:tcPr>
            <w:tcW w:w="3969" w:type="dxa"/>
            <w:vAlign w:val="center"/>
          </w:tcPr>
          <w:p w14:paraId="4798826F">
            <w:pPr>
              <w:spacing w:after="0" w:line="252" w:lineRule="auto"/>
              <w:rPr>
                <w:rFonts w:hint="eastAsia"/>
                <w:sz w:val="24"/>
                <w:szCs w:val="24"/>
                <w:lang w:eastAsia="zh-CN"/>
              </w:rPr>
            </w:pPr>
            <w:r>
              <w:rPr>
                <w:sz w:val="24"/>
                <w:szCs w:val="24"/>
                <w:lang w:eastAsia="zh-CN"/>
              </w:rPr>
              <w:t>电子数据、视听资料鉴定规则；网络信息内容治理规则。</w:t>
            </w:r>
          </w:p>
        </w:tc>
        <w:tc>
          <w:tcPr>
            <w:tcW w:w="4536" w:type="dxa"/>
            <w:vAlign w:val="center"/>
          </w:tcPr>
          <w:p w14:paraId="40D0C560">
            <w:pPr>
              <w:spacing w:after="0" w:line="252" w:lineRule="auto"/>
              <w:rPr>
                <w:rFonts w:hint="eastAsia"/>
                <w:sz w:val="24"/>
                <w:szCs w:val="24"/>
                <w:lang w:eastAsia="zh-CN"/>
              </w:rPr>
            </w:pPr>
            <w:r>
              <w:rPr>
                <w:sz w:val="24"/>
                <w:szCs w:val="24"/>
                <w:lang w:eastAsia="zh-CN"/>
              </w:rPr>
              <w:t>面对 AI 换脸、视频拼接和虚假影像传播，司法与平台治理需建立视频真实性鉴定标准和专家审查机制。</w:t>
            </w:r>
          </w:p>
        </w:tc>
      </w:tr>
    </w:tbl>
    <w:p w14:paraId="00CF05F5">
      <w:pPr>
        <w:rPr>
          <w:rFonts w:hint="eastAsia"/>
          <w:sz w:val="24"/>
          <w:szCs w:val="24"/>
          <w:lang w:eastAsia="zh-CN"/>
        </w:rPr>
      </w:pPr>
      <w:r>
        <w:rPr>
          <w:sz w:val="24"/>
          <w:szCs w:val="24"/>
          <w:lang w:eastAsia="zh-CN"/>
        </w:rPr>
        <w:br w:type="page"/>
      </w:r>
    </w:p>
    <w:p w14:paraId="21243005">
      <w:pPr>
        <w:pStyle w:val="165"/>
        <w:spacing w:after="80"/>
        <w:rPr>
          <w:rFonts w:hint="eastAsia"/>
          <w:color w:val="auto"/>
          <w:sz w:val="24"/>
          <w:szCs w:val="24"/>
          <w:lang w:eastAsia="zh-CN"/>
        </w:rPr>
      </w:pPr>
      <w:r>
        <w:rPr>
          <w:rFonts w:hint="eastAsia"/>
          <w:b w:val="0"/>
          <w:color w:val="auto"/>
          <w:sz w:val="24"/>
          <w:szCs w:val="24"/>
          <w:lang w:eastAsia="zh-CN"/>
        </w:rPr>
        <w:t>10</w:t>
      </w:r>
      <w:r>
        <w:rPr>
          <w:b w:val="0"/>
          <w:color w:val="auto"/>
          <w:sz w:val="24"/>
          <w:szCs w:val="24"/>
          <w:lang w:eastAsia="zh-CN"/>
        </w:rPr>
        <w:t>、公共数据授权运营、开放利用与行政垄断风险防范场景</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4762"/>
        <w:gridCol w:w="3969"/>
        <w:gridCol w:w="4536"/>
      </w:tblGrid>
      <w:tr w14:paraId="530BB1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tcW w:w="2268" w:type="dxa"/>
            <w:shd w:val="clear" w:color="auto" w:fill="1F4E79"/>
            <w:vAlign w:val="center"/>
          </w:tcPr>
          <w:p w14:paraId="7AE0D1AD">
            <w:pPr>
              <w:spacing w:after="0" w:line="252" w:lineRule="auto"/>
              <w:rPr>
                <w:rFonts w:hint="eastAsia"/>
                <w:sz w:val="24"/>
                <w:szCs w:val="24"/>
              </w:rPr>
            </w:pPr>
            <w:r>
              <w:rPr>
                <w:b/>
                <w:color w:val="FFFFFF"/>
                <w:sz w:val="24"/>
                <w:szCs w:val="24"/>
              </w:rPr>
              <w:t>案例名称</w:t>
            </w:r>
          </w:p>
        </w:tc>
        <w:tc>
          <w:tcPr>
            <w:tcW w:w="4762" w:type="dxa"/>
            <w:shd w:val="clear" w:color="auto" w:fill="1F4E79"/>
            <w:vAlign w:val="center"/>
          </w:tcPr>
          <w:p w14:paraId="1DD8CA21">
            <w:pPr>
              <w:spacing w:after="0" w:line="252" w:lineRule="auto"/>
              <w:rPr>
                <w:rFonts w:hint="eastAsia"/>
                <w:sz w:val="24"/>
                <w:szCs w:val="24"/>
              </w:rPr>
            </w:pPr>
            <w:r>
              <w:rPr>
                <w:b/>
                <w:color w:val="FFFFFF"/>
                <w:sz w:val="24"/>
                <w:szCs w:val="24"/>
              </w:rPr>
              <w:t>具体案情提炼</w:t>
            </w:r>
          </w:p>
        </w:tc>
        <w:tc>
          <w:tcPr>
            <w:tcW w:w="3969" w:type="dxa"/>
            <w:shd w:val="clear" w:color="auto" w:fill="1F4E79"/>
            <w:vAlign w:val="center"/>
          </w:tcPr>
          <w:p w14:paraId="20CF21FE">
            <w:pPr>
              <w:spacing w:after="0" w:line="252" w:lineRule="auto"/>
              <w:rPr>
                <w:rFonts w:hint="eastAsia"/>
                <w:sz w:val="24"/>
                <w:szCs w:val="24"/>
              </w:rPr>
            </w:pPr>
            <w:r>
              <w:rPr>
                <w:b/>
                <w:color w:val="FFFFFF"/>
                <w:sz w:val="24"/>
                <w:szCs w:val="24"/>
              </w:rPr>
              <w:t>涉案法条/规范</w:t>
            </w:r>
          </w:p>
        </w:tc>
        <w:tc>
          <w:tcPr>
            <w:tcW w:w="4536" w:type="dxa"/>
            <w:shd w:val="clear" w:color="auto" w:fill="1F4E79"/>
            <w:vAlign w:val="center"/>
          </w:tcPr>
          <w:p w14:paraId="4557C41F">
            <w:pPr>
              <w:spacing w:after="0" w:line="252" w:lineRule="auto"/>
              <w:rPr>
                <w:rFonts w:hint="eastAsia"/>
                <w:sz w:val="24"/>
                <w:szCs w:val="24"/>
              </w:rPr>
            </w:pPr>
            <w:r>
              <w:rPr>
                <w:b/>
                <w:color w:val="FFFFFF"/>
                <w:sz w:val="24"/>
                <w:szCs w:val="24"/>
              </w:rPr>
              <w:t>案例分析/合规启示</w:t>
            </w:r>
          </w:p>
        </w:tc>
      </w:tr>
      <w:tr w14:paraId="07D91A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2A940B5">
            <w:pPr>
              <w:spacing w:after="0" w:line="252" w:lineRule="auto"/>
              <w:rPr>
                <w:rFonts w:hint="eastAsia"/>
                <w:sz w:val="24"/>
                <w:szCs w:val="24"/>
                <w:lang w:eastAsia="zh-CN"/>
              </w:rPr>
            </w:pPr>
            <w:r>
              <w:rPr>
                <w:sz w:val="24"/>
                <w:szCs w:val="24"/>
                <w:lang w:eastAsia="zh-CN"/>
              </w:rPr>
              <w:t>1. 衡阳市政务数据资源和智慧城市特许经营权出让项目</w:t>
            </w:r>
          </w:p>
        </w:tc>
        <w:tc>
          <w:tcPr>
            <w:tcW w:w="4762" w:type="dxa"/>
            <w:vAlign w:val="center"/>
          </w:tcPr>
          <w:p w14:paraId="3224187A">
            <w:pPr>
              <w:spacing w:after="0" w:line="252" w:lineRule="auto"/>
              <w:rPr>
                <w:rFonts w:hint="eastAsia"/>
                <w:sz w:val="24"/>
                <w:szCs w:val="24"/>
                <w:lang w:eastAsia="zh-CN"/>
              </w:rPr>
            </w:pPr>
            <w:r>
              <w:rPr>
                <w:sz w:val="24"/>
                <w:szCs w:val="24"/>
                <w:lang w:eastAsia="zh-CN"/>
              </w:rPr>
              <w:t>2023 年衡阳市公共资源交易中心发布公告，以网上竞价方式出让“衡阳市政务数据资源和智慧城市特许经营权”，起拍价约 18 亿元。材料指出该类整体打包、排他性出让可能造成不公平市场竞争环境。</w:t>
            </w:r>
          </w:p>
        </w:tc>
        <w:tc>
          <w:tcPr>
            <w:tcW w:w="3969" w:type="dxa"/>
            <w:vAlign w:val="center"/>
          </w:tcPr>
          <w:p w14:paraId="2DCBC70E">
            <w:pPr>
              <w:spacing w:after="0" w:line="252" w:lineRule="auto"/>
              <w:rPr>
                <w:rFonts w:hint="eastAsia"/>
                <w:sz w:val="24"/>
                <w:szCs w:val="24"/>
                <w:lang w:eastAsia="zh-CN"/>
              </w:rPr>
            </w:pPr>
            <w:r>
              <w:rPr>
                <w:sz w:val="24"/>
                <w:szCs w:val="24"/>
                <w:lang w:eastAsia="zh-CN"/>
              </w:rPr>
              <w:t>《反垄断法》行政垄断规则；《公平竞争审查条例/公平竞争审查制度实施细则》；公共数据授权运营、数据安全和个人信息保护规则。</w:t>
            </w:r>
          </w:p>
        </w:tc>
        <w:tc>
          <w:tcPr>
            <w:tcW w:w="4536" w:type="dxa"/>
            <w:vAlign w:val="center"/>
          </w:tcPr>
          <w:p w14:paraId="7DA0408B">
            <w:pPr>
              <w:spacing w:after="0" w:line="252" w:lineRule="auto"/>
              <w:rPr>
                <w:rFonts w:hint="eastAsia"/>
                <w:sz w:val="24"/>
                <w:szCs w:val="24"/>
                <w:lang w:eastAsia="zh-CN"/>
              </w:rPr>
            </w:pPr>
            <w:r>
              <w:rPr>
                <w:sz w:val="24"/>
                <w:szCs w:val="24"/>
                <w:lang w:eastAsia="zh-CN"/>
              </w:rPr>
              <w:t>公共数据不能简单等同土地、矿产等资源拍卖。政府应区分数据持有者、实施机构和运营机构，采用公开透明、非歧视、可退出的授权运营机制。</w:t>
            </w:r>
          </w:p>
        </w:tc>
      </w:tr>
      <w:tr w14:paraId="0561C1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F7F7F7"/>
            <w:vAlign w:val="center"/>
          </w:tcPr>
          <w:p w14:paraId="2ED09F35">
            <w:pPr>
              <w:spacing w:after="0" w:line="252" w:lineRule="auto"/>
              <w:rPr>
                <w:rFonts w:hint="eastAsia"/>
                <w:sz w:val="24"/>
                <w:szCs w:val="24"/>
              </w:rPr>
            </w:pPr>
            <w:r>
              <w:rPr>
                <w:sz w:val="24"/>
                <w:szCs w:val="24"/>
              </w:rPr>
              <w:t>2. Lucasys Inc. 诉 PowerPlan 案中的数据必需设施问题</w:t>
            </w:r>
          </w:p>
        </w:tc>
        <w:tc>
          <w:tcPr>
            <w:tcW w:w="4762" w:type="dxa"/>
            <w:shd w:val="clear" w:color="auto" w:fill="F7F7F7"/>
            <w:vAlign w:val="center"/>
          </w:tcPr>
          <w:p w14:paraId="14787033">
            <w:pPr>
              <w:spacing w:after="0" w:line="252" w:lineRule="auto"/>
              <w:rPr>
                <w:rFonts w:hint="eastAsia"/>
                <w:sz w:val="24"/>
                <w:szCs w:val="24"/>
                <w:lang w:eastAsia="zh-CN"/>
              </w:rPr>
            </w:pPr>
            <w:r>
              <w:rPr>
                <w:sz w:val="24"/>
                <w:szCs w:val="24"/>
                <w:lang w:eastAsia="zh-CN"/>
              </w:rPr>
              <w:t>美国 Lucasys 指控 PowerPlan 掌握公用事业部门关键数据并阻碍其获取，妨碍下游创新并攫取超额利润，案件涉及数据是否构成竞争必需设施。</w:t>
            </w:r>
          </w:p>
        </w:tc>
        <w:tc>
          <w:tcPr>
            <w:tcW w:w="3969" w:type="dxa"/>
            <w:shd w:val="clear" w:color="auto" w:fill="F7F7F7"/>
            <w:vAlign w:val="center"/>
          </w:tcPr>
          <w:p w14:paraId="6B7513FD">
            <w:pPr>
              <w:spacing w:after="0" w:line="252" w:lineRule="auto"/>
              <w:rPr>
                <w:rFonts w:hint="eastAsia"/>
                <w:sz w:val="24"/>
                <w:szCs w:val="24"/>
                <w:lang w:eastAsia="zh-CN"/>
              </w:rPr>
            </w:pPr>
            <w:r>
              <w:rPr>
                <w:sz w:val="24"/>
                <w:szCs w:val="24"/>
                <w:lang w:eastAsia="zh-CN"/>
              </w:rPr>
              <w:t>美国《谢尔曼法》《克莱顿法》；对应我国《反垄断法》滥用市场支配地位规则、必需设施理论和数据开放相关规则。</w:t>
            </w:r>
          </w:p>
        </w:tc>
        <w:tc>
          <w:tcPr>
            <w:tcW w:w="4536" w:type="dxa"/>
            <w:shd w:val="clear" w:color="auto" w:fill="F7F7F7"/>
            <w:vAlign w:val="center"/>
          </w:tcPr>
          <w:p w14:paraId="058CCB59">
            <w:pPr>
              <w:spacing w:after="0" w:line="252" w:lineRule="auto"/>
              <w:rPr>
                <w:rFonts w:hint="eastAsia"/>
                <w:sz w:val="24"/>
                <w:szCs w:val="24"/>
                <w:lang w:eastAsia="zh-CN"/>
              </w:rPr>
            </w:pPr>
            <w:r>
              <w:rPr>
                <w:sz w:val="24"/>
                <w:szCs w:val="24"/>
                <w:lang w:eastAsia="zh-CN"/>
              </w:rPr>
              <w:t>关键数据在特定市场可能具有不可替代性。隐私、安全、商业秘密可作为限制开放的合理理由，但不能成为维持垄断的概括性借口，应通过脱敏、接口、用途限制和审计平衡。</w:t>
            </w:r>
          </w:p>
        </w:tc>
      </w:tr>
    </w:tbl>
    <w:p w14:paraId="12420BCF">
      <w:pPr>
        <w:rPr>
          <w:rFonts w:hint="eastAsia"/>
          <w:sz w:val="24"/>
          <w:szCs w:val="24"/>
          <w:lang w:eastAsia="zh-CN"/>
        </w:rPr>
      </w:pPr>
    </w:p>
    <w:sectPr>
      <w:headerReference r:id="rId7" w:type="first"/>
      <w:footerReference r:id="rId10" w:type="first"/>
      <w:headerReference r:id="rId5" w:type="default"/>
      <w:footerReference r:id="rId8" w:type="default"/>
      <w:headerReference r:id="rId6" w:type="even"/>
      <w:footerReference r:id="rId9" w:type="even"/>
      <w:pgSz w:w="16838" w:h="11906" w:orient="landscape"/>
      <w:pgMar w:top="737" w:right="680" w:bottom="680" w:left="680" w:header="340" w:footer="3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84C25">
    <w:pPr>
      <w:pStyle w:val="24"/>
      <w:jc w:val="center"/>
      <w:rPr>
        <w:rFonts w:hint="eastAsia"/>
      </w:rPr>
    </w:pPr>
    <w:r>
      <w:rPr>
        <w:sz w:val="16"/>
      </w:rPr>
      <w:t xml:space="preserve">第 </w:t>
    </w:r>
    <w:r>
      <w:fldChar w:fldCharType="begin"/>
    </w:r>
    <w:r>
      <w:instrText xml:space="preserve">PAGE</w:instrText>
    </w:r>
    <w:r>
      <w:fldChar w:fldCharType="separate"/>
    </w:r>
    <w:r>
      <w:rPr>
        <w:rFonts w:hint="eastAsia"/>
      </w:rPr>
      <w:t>1</w:t>
    </w:r>
    <w:r>
      <w:fldChar w:fldCharType="end"/>
    </w:r>
    <w:r>
      <w:rPr>
        <w:sz w:val="16"/>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83C43">
    <w:pPr>
      <w:pStyle w:val="24"/>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C86E9">
    <w:pPr>
      <w:pStyle w:val="2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1D0BB">
    <w:pPr>
      <w:pStyle w:val="25"/>
      <w:jc w:val="center"/>
      <w:rPr>
        <w:rFonts w:hint="eastAsia"/>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959E9">
    <w:pPr>
      <w:pStyle w:val="25"/>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F214B">
    <w:pPr>
      <w:pStyle w:val="25"/>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73E3"/>
    <w:rsid w:val="004D6F71"/>
    <w:rsid w:val="008B12EC"/>
    <w:rsid w:val="009C6DB0"/>
    <w:rsid w:val="00AA1D8D"/>
    <w:rsid w:val="00B47730"/>
    <w:rsid w:val="00CB0664"/>
    <w:rsid w:val="00CD26D7"/>
    <w:rsid w:val="00D5544D"/>
    <w:rsid w:val="00E20F1E"/>
    <w:rsid w:val="00FC693F"/>
    <w:rsid w:val="00FC7CBD"/>
    <w:rsid w:val="5BE74A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itleCN"/>
    <w:qFormat/>
    <w:uiPriority w:val="0"/>
    <w:pPr>
      <w:spacing w:after="120" w:line="276" w:lineRule="auto"/>
    </w:pPr>
    <w:rPr>
      <w:rFonts w:ascii="宋体" w:hAnsi="宋体" w:eastAsia="宋体" w:cstheme="minorBidi"/>
      <w:b/>
      <w:color w:val="1F4E79"/>
      <w:sz w:val="40"/>
      <w:szCs w:val="22"/>
      <w:lang w:val="en-US" w:eastAsia="en-US" w:bidi="ar-SA"/>
    </w:rPr>
  </w:style>
  <w:style w:type="paragraph" w:customStyle="1" w:styleId="165">
    <w:name w:val="HeadingCN"/>
    <w:qFormat/>
    <w:uiPriority w:val="0"/>
    <w:pPr>
      <w:spacing w:after="120" w:line="276" w:lineRule="auto"/>
    </w:pPr>
    <w:rPr>
      <w:rFonts w:ascii="宋体" w:hAnsi="宋体" w:eastAsia="宋体" w:cstheme="minorBidi"/>
      <w:b/>
      <w:color w:val="1F4E79"/>
      <w:sz w:val="26"/>
      <w:szCs w:val="22"/>
      <w:lang w:val="en-US" w:eastAsia="en-US" w:bidi="ar-SA"/>
    </w:rPr>
  </w:style>
  <w:style w:type="paragraph" w:customStyle="1" w:styleId="166">
    <w:name w:val="NoteCN"/>
    <w:qFormat/>
    <w:uiPriority w:val="0"/>
    <w:pPr>
      <w:spacing w:after="120" w:line="276" w:lineRule="auto"/>
    </w:pPr>
    <w:rPr>
      <w:rFonts w:ascii="宋体" w:hAnsi="宋体" w:eastAsia="宋体" w:cstheme="minorBidi"/>
      <w:color w:val="595959"/>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3076</Words>
  <Characters>3236</Characters>
  <Lines>654</Lines>
  <Paragraphs>423</Paragraphs>
  <TotalTime>4</TotalTime>
  <ScaleCrop>false</ScaleCrop>
  <LinksUpToDate>false</LinksUpToDate>
  <CharactersWithSpaces>3282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2026-06-18T15:43:00Z</dcterms:created>
  <dc:creator>韩松儒</dc:creator>
  <dc:description>generated by python-docx</dc:description>
  <cp:lastModifiedBy>WPS_1758125826</cp:lastModifiedBy>
  <dcterms:modified xsi:type="dcterms:W3CDTF">2026-06-21T02:17:24Z</dcterms:modified>
  <dc:subject>真实案例提炼、涉案法条、案例分析</dc:subject>
  <dc:title>个人信息数据特殊适用场景真实案例提炼汇总</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eyJoZGlkIjoiYzM1MmJmODI4NmI0YTdlODY5N2Y3MmNmNmI1OWVlNDEiLCJ1c2VySWQiOiIxNzQ0Njk3MTY3In0=</vt:lpwstr>
  </property>
  <property fmtid="{D5CDD505-2E9C-101B-9397-08002B2CF9AE}" pid="3" name="KSOProductBuildVer">
    <vt:lpwstr>2052-12.1.0.26895</vt:lpwstr>
  </property>
  <property fmtid="{D5CDD505-2E9C-101B-9397-08002B2CF9AE}" pid="4" name="ICV">
    <vt:lpwstr>E450E1FB90E34C77BD698E509F1412AF_12</vt:lpwstr>
  </property>
</Properties>
</file>