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D314D3">
      <w:pPr>
        <w:spacing w:before="0" w:after="0" w:line="360" w:lineRule="auto"/>
        <w:ind w:firstLine="0"/>
        <w:jc w:val="center"/>
        <w:rPr>
          <w:rFonts w:ascii="Times New Roman" w:hAnsi="Times New Roman"/>
          <w:sz w:val="28"/>
          <w:szCs w:val="24"/>
        </w:rPr>
      </w:pPr>
      <w:r>
        <w:rPr>
          <w:rFonts w:ascii="Times New Roman" w:hAnsi="Times New Roman" w:eastAsia="宋体"/>
          <w:b/>
          <w:sz w:val="28"/>
          <w:szCs w:val="24"/>
        </w:rPr>
        <w:t>AI时代一体化数字营销与法律回望</w:t>
      </w:r>
    </w:p>
    <w:p w14:paraId="332A6C64">
      <w:pPr>
        <w:numPr>
          <w:ilvl w:val="0"/>
          <w:numId w:val="1"/>
        </w:numPr>
        <w:spacing w:before="0" w:after="0" w:line="360" w:lineRule="auto"/>
        <w:ind w:firstLine="0"/>
        <w:rPr>
          <w:rFonts w:ascii="Times New Roman" w:hAnsi="Times New Roman"/>
          <w:sz w:val="24"/>
        </w:rPr>
      </w:pPr>
      <w:r>
        <w:rPr>
          <w:rFonts w:ascii="Times New Roman" w:hAnsi="Times New Roman" w:eastAsia="宋体"/>
          <w:b/>
          <w:sz w:val="24"/>
        </w:rPr>
        <w:t>场景名称</w:t>
      </w:r>
    </w:p>
    <w:p w14:paraId="40BBD84C">
      <w:pPr>
        <w:spacing w:before="0" w:after="0" w:line="360" w:lineRule="auto"/>
        <w:ind w:firstLine="480"/>
        <w:rPr>
          <w:rFonts w:ascii="Times New Roman" w:hAnsi="Times New Roman"/>
          <w:sz w:val="24"/>
        </w:rPr>
      </w:pPr>
      <w:r>
        <w:rPr>
          <w:rFonts w:ascii="Times New Roman" w:hAnsi="Times New Roman" w:eastAsia="宋体"/>
          <w:b w:val="0"/>
          <w:sz w:val="24"/>
        </w:rPr>
        <w:t>AI时代一体化数字营销与法律回望。</w:t>
      </w:r>
    </w:p>
    <w:p w14:paraId="10271A2F">
      <w:pPr>
        <w:numPr>
          <w:ilvl w:val="0"/>
          <w:numId w:val="1"/>
        </w:numPr>
        <w:spacing w:before="0" w:after="0" w:line="360" w:lineRule="auto"/>
        <w:ind w:left="0" w:leftChars="0" w:firstLine="0" w:firstLineChars="0"/>
        <w:rPr>
          <w:rFonts w:ascii="Times New Roman" w:hAnsi="Times New Roman"/>
          <w:sz w:val="24"/>
        </w:rPr>
      </w:pPr>
      <w:r>
        <w:rPr>
          <w:rFonts w:ascii="Times New Roman" w:hAnsi="Times New Roman" w:eastAsia="宋体"/>
          <w:b/>
          <w:sz w:val="24"/>
        </w:rPr>
        <w:t>场景概述</w:t>
      </w:r>
    </w:p>
    <w:p w14:paraId="20E88A4C">
      <w:pPr>
        <w:spacing w:before="0" w:after="0" w:line="360" w:lineRule="auto"/>
        <w:ind w:firstLine="480"/>
        <w:rPr>
          <w:rFonts w:ascii="Times New Roman" w:hAnsi="Times New Roman"/>
          <w:sz w:val="24"/>
        </w:rPr>
      </w:pPr>
      <w:r>
        <w:rPr>
          <w:rFonts w:ascii="Times New Roman" w:hAnsi="Times New Roman" w:eastAsia="宋体"/>
          <w:b w:val="0"/>
          <w:sz w:val="24"/>
        </w:rPr>
        <w:t>AI时代的一体化数字营销，是指广告主、媒体平台、广告平台、广告联盟、第三方监测平台、数据管理平台、创意生成平台和AI助手等主体共同参与，通过程序化广告、实时竞价、用户画像、推荐算法、AIGC素材生成、数字人直播、AI选品、AEO内容优化和全链路经营服务，实现从“买量”到“留量”、从“卖流量”到“做经营”的营销生态。</w:t>
      </w:r>
      <w:r>
        <w:rPr>
          <w:rFonts w:hint="eastAsia" w:ascii="Times New Roman" w:hAnsi="Times New Roman"/>
          <w:b w:val="0"/>
          <w:sz w:val="24"/>
          <w:lang w:val="en-US" w:eastAsia="zh-CN"/>
        </w:rPr>
        <w:t>可以将其</w:t>
      </w:r>
      <w:r>
        <w:rPr>
          <w:rFonts w:ascii="Times New Roman" w:hAnsi="Times New Roman" w:eastAsia="宋体"/>
          <w:b w:val="0"/>
          <w:sz w:val="24"/>
        </w:rPr>
        <w:t>概括为数字广告生态、商业驱动技术、技术塑造生态和法律解释方法四个部分。</w:t>
      </w:r>
    </w:p>
    <w:p w14:paraId="5C699D80">
      <w:pPr>
        <w:numPr>
          <w:ilvl w:val="0"/>
          <w:numId w:val="2"/>
        </w:numPr>
        <w:spacing w:before="0" w:after="0" w:line="360" w:lineRule="auto"/>
        <w:ind w:firstLine="480"/>
        <w:rPr>
          <w:rFonts w:hint="eastAsia" w:ascii="Times New Roman" w:hAnsi="Times New Roman" w:eastAsia="宋体"/>
          <w:b w:val="0"/>
          <w:sz w:val="24"/>
          <w:lang w:eastAsia="zh-CN"/>
        </w:rPr>
      </w:pPr>
      <w:r>
        <w:rPr>
          <w:rFonts w:ascii="Times New Roman" w:hAnsi="Times New Roman" w:eastAsia="宋体"/>
          <w:b/>
          <w:bCs/>
          <w:sz w:val="24"/>
        </w:rPr>
        <w:t>该场景涉及的数据包括</w:t>
      </w:r>
      <w:r>
        <w:rPr>
          <w:rFonts w:hint="eastAsia" w:ascii="Times New Roman" w:hAnsi="Times New Roman"/>
          <w:b w:val="0"/>
          <w:sz w:val="24"/>
          <w:lang w:eastAsia="zh-CN"/>
        </w:rPr>
        <w:t>：</w:t>
      </w:r>
    </w:p>
    <w:p w14:paraId="191B2DF3">
      <w:pPr>
        <w:spacing w:before="0" w:after="0" w:line="360" w:lineRule="auto"/>
        <w:ind w:firstLine="480"/>
        <w:rPr>
          <w:rFonts w:ascii="Times New Roman" w:hAnsi="Times New Roman"/>
          <w:sz w:val="24"/>
        </w:rPr>
      </w:pPr>
      <w:r>
        <w:rPr>
          <w:rFonts w:ascii="Times New Roman" w:hAnsi="Times New Roman" w:eastAsia="宋体"/>
          <w:b w:val="0"/>
          <w:sz w:val="24"/>
        </w:rPr>
        <w:t>用户身份数据、设备标识、浏览记录、点击记录、搜索记录、购买记录、停留时长、互动行为、地理位置、兴趣偏好、消费能力、转化记录、show/click事件回传数据、广告曝光与竞价数据、素材测试数据、用户行为序列、用户画像标签、交易履约数据、跨平台归因数据、A/B测试数据和AI助手交互数据。生成式推荐还高度依赖用户行为序列数据的准确性、连贯性和质量，平台会将用户的语言、地点、加入社区、历史点击、观看、收藏等信息融合为动态画像。</w:t>
      </w:r>
    </w:p>
    <w:p w14:paraId="71BFB904">
      <w:pPr>
        <w:numPr>
          <w:ilvl w:val="0"/>
          <w:numId w:val="2"/>
        </w:numPr>
        <w:spacing w:before="0" w:after="0" w:line="360" w:lineRule="auto"/>
        <w:ind w:left="0" w:leftChars="0" w:firstLine="480" w:firstLineChars="0"/>
        <w:rPr>
          <w:rFonts w:hint="eastAsia" w:ascii="Times New Roman" w:hAnsi="Times New Roman" w:eastAsia="宋体"/>
          <w:b w:val="0"/>
          <w:sz w:val="24"/>
          <w:lang w:eastAsia="zh-CN"/>
        </w:rPr>
      </w:pPr>
      <w:r>
        <w:rPr>
          <w:rFonts w:ascii="Times New Roman" w:hAnsi="Times New Roman" w:eastAsia="宋体"/>
          <w:b/>
          <w:bCs/>
          <w:sz w:val="24"/>
        </w:rPr>
        <w:t>主要主体包括</w:t>
      </w:r>
      <w:r>
        <w:rPr>
          <w:rFonts w:hint="eastAsia" w:ascii="Times New Roman" w:hAnsi="Times New Roman"/>
          <w:b w:val="0"/>
          <w:sz w:val="24"/>
          <w:lang w:eastAsia="zh-CN"/>
        </w:rPr>
        <w:t>：</w:t>
      </w:r>
    </w:p>
    <w:p w14:paraId="203340D4">
      <w:pPr>
        <w:spacing w:before="0" w:after="0" w:line="360" w:lineRule="auto"/>
        <w:ind w:firstLine="480"/>
        <w:rPr>
          <w:rFonts w:ascii="Times New Roman" w:hAnsi="Times New Roman"/>
          <w:sz w:val="24"/>
        </w:rPr>
      </w:pPr>
      <w:r>
        <w:rPr>
          <w:rFonts w:ascii="Times New Roman" w:hAnsi="Times New Roman" w:eastAsia="宋体"/>
          <w:b w:val="0"/>
          <w:sz w:val="24"/>
        </w:rPr>
        <w:t>广告主、媒体平台、广告需求方平台DSP、媒介方平台SSP、广告交易平台ADX、第三方数据管理平台DMP、第三方归因监测平台、创意生成平台、AI工具服务商、数字人直播服务商、AI助手或操作系统入口提供者、商家、消费者以及监管机关。不同主体在广告请求、数据匹配、竞价排名、广告展示、事件回传、效果归因、素材生成、用户转化和再营销等环节中可能同时扮演个人信息处理者、共同处理者、受托处理者或独立第三方接收者。</w:t>
      </w:r>
    </w:p>
    <w:p w14:paraId="4433D037">
      <w:pPr>
        <w:numPr>
          <w:ilvl w:val="0"/>
          <w:numId w:val="2"/>
        </w:numPr>
        <w:spacing w:before="0" w:after="0" w:line="360" w:lineRule="auto"/>
        <w:ind w:left="0" w:leftChars="0" w:firstLine="480" w:firstLineChars="0"/>
        <w:rPr>
          <w:rFonts w:ascii="Times New Roman" w:hAnsi="Times New Roman" w:eastAsia="宋体"/>
          <w:b/>
          <w:bCs/>
          <w:color w:val="auto"/>
          <w:sz w:val="24"/>
        </w:rPr>
      </w:pPr>
      <w:r>
        <w:rPr>
          <w:rFonts w:ascii="Times New Roman" w:hAnsi="Times New Roman" w:eastAsia="宋体"/>
          <w:b/>
          <w:bCs/>
          <w:color w:val="auto"/>
          <w:sz w:val="24"/>
        </w:rPr>
        <w:t>可能发生的法律风险包括：</w:t>
      </w:r>
    </w:p>
    <w:p w14:paraId="2626A50A">
      <w:pPr>
        <w:spacing w:before="0" w:after="0" w:line="360" w:lineRule="auto"/>
        <w:ind w:firstLine="480"/>
        <w:rPr>
          <w:rFonts w:ascii="Times New Roman" w:hAnsi="Times New Roman"/>
          <w:sz w:val="24"/>
        </w:rPr>
      </w:pPr>
      <w:r>
        <w:rPr>
          <w:rFonts w:ascii="Times New Roman" w:hAnsi="Times New Roman" w:eastAsia="宋体"/>
          <w:b w:val="0"/>
          <w:sz w:val="24"/>
        </w:rPr>
        <w:t>未充分告知用户即进行画像和个性化推荐；默认开启个性化广告或算法推荐；以“一站式经营”“效果优化”为名过度收集和跨场景整合数据；广告平台、媒体平台、DMP、第三方监测之间共享数据缺乏合法基础；AIGC生成广告素材侵犯肖像权、著作权、商标权或构成虚假宣传；数字人直播未显著标识广告性质或虚拟身份；AI助手成为新流量入口后出现自我优待、接口封锁、数据抓取和调用权限争议；AEO/GEO内容优化演变为AI语料投毒、虚假测评和恶意抹黑竞争对手；以及自动化决策导致价格歧视、信息茧房、消费者知情权受损。</w:t>
      </w:r>
    </w:p>
    <w:p w14:paraId="59378F27">
      <w:pPr>
        <w:numPr>
          <w:ilvl w:val="0"/>
          <w:numId w:val="1"/>
        </w:numPr>
        <w:spacing w:before="0" w:after="0" w:line="360" w:lineRule="auto"/>
        <w:ind w:left="0" w:leftChars="0" w:firstLine="0" w:firstLineChars="0"/>
        <w:rPr>
          <w:rFonts w:ascii="Times New Roman" w:hAnsi="Times New Roman"/>
          <w:sz w:val="24"/>
        </w:rPr>
      </w:pPr>
      <w:r>
        <w:rPr>
          <w:rFonts w:ascii="Times New Roman" w:hAnsi="Times New Roman" w:eastAsia="宋体"/>
          <w:b/>
          <w:sz w:val="24"/>
        </w:rPr>
        <w:t>共性问题</w:t>
      </w:r>
    </w:p>
    <w:p w14:paraId="4133B5F7">
      <w:pPr>
        <w:numPr>
          <w:ilvl w:val="0"/>
          <w:numId w:val="3"/>
        </w:numPr>
        <w:spacing w:before="0" w:after="0" w:line="360" w:lineRule="auto"/>
        <w:ind w:firstLine="480"/>
        <w:rPr>
          <w:rFonts w:ascii="Times New Roman" w:hAnsi="Times New Roman"/>
          <w:sz w:val="24"/>
        </w:rPr>
      </w:pPr>
      <w:r>
        <w:rPr>
          <w:rFonts w:ascii="Times New Roman" w:hAnsi="Times New Roman" w:eastAsia="宋体"/>
          <w:b/>
          <w:bCs/>
          <w:sz w:val="24"/>
        </w:rPr>
        <w:t>用户画像和个性化推荐是否具有合法性基础</w:t>
      </w:r>
    </w:p>
    <w:p w14:paraId="23744A23">
      <w:pPr>
        <w:numPr>
          <w:ilvl w:val="0"/>
          <w:numId w:val="0"/>
        </w:numPr>
        <w:spacing w:before="0" w:after="0" w:line="360" w:lineRule="auto"/>
        <w:ind w:firstLine="480" w:firstLineChars="200"/>
        <w:rPr>
          <w:rFonts w:ascii="Times New Roman" w:hAnsi="Times New Roman"/>
          <w:sz w:val="24"/>
        </w:rPr>
      </w:pPr>
      <w:r>
        <w:rPr>
          <w:rFonts w:ascii="Times New Roman" w:hAnsi="Times New Roman" w:eastAsia="宋体"/>
          <w:b w:val="0"/>
          <w:sz w:val="24"/>
        </w:rPr>
        <w:t>根据《个人信息保护法》第十三条、第十七条、第二十四条，平台利用用户行为数据进行画像、推荐、排序、定向广告和个性化展示，应当具备合法处理依据，履行告知义务，并保证自动化决策透明、公平、公正，不得对个人在交易价格等交易条件上实行不合理差别待遇。</w:t>
      </w:r>
    </w:p>
    <w:p w14:paraId="3DE6C56A">
      <w:pPr>
        <w:numPr>
          <w:ilvl w:val="0"/>
          <w:numId w:val="3"/>
        </w:numPr>
        <w:spacing w:before="0" w:after="0" w:line="360" w:lineRule="auto"/>
        <w:ind w:left="0" w:leftChars="0" w:firstLine="480" w:firstLineChars="0"/>
        <w:rPr>
          <w:rFonts w:ascii="Times New Roman" w:hAnsi="Times New Roman"/>
          <w:sz w:val="24"/>
        </w:rPr>
      </w:pPr>
      <w:r>
        <w:rPr>
          <w:rFonts w:ascii="Times New Roman" w:hAnsi="Times New Roman" w:eastAsia="宋体"/>
          <w:b/>
          <w:bCs/>
          <w:sz w:val="24"/>
        </w:rPr>
        <w:t>是否符合目的限定和最小必要原则</w:t>
      </w:r>
    </w:p>
    <w:p w14:paraId="25A12A99">
      <w:pPr>
        <w:numPr>
          <w:ilvl w:val="0"/>
          <w:numId w:val="0"/>
        </w:numPr>
        <w:spacing w:before="0" w:after="0" w:line="360" w:lineRule="auto"/>
        <w:ind w:firstLine="480" w:firstLineChars="200"/>
        <w:rPr>
          <w:rFonts w:ascii="Times New Roman" w:hAnsi="Times New Roman"/>
          <w:sz w:val="24"/>
        </w:rPr>
      </w:pPr>
      <w:r>
        <w:rPr>
          <w:rFonts w:ascii="Times New Roman" w:hAnsi="Times New Roman" w:eastAsia="宋体"/>
          <w:b w:val="0"/>
          <w:sz w:val="24"/>
        </w:rPr>
        <w:t>根据《个人信息保护法》第六条，处理个人信息应当具有明确、合理目的，并与处理目的直接相关。数字营销中的“全链路打通”不能当然突破原始收集目的，广告归因、再营销、A/B测试、用户留存分析、AI训练和跨平台投放应分别判断是否与原目的兼容，是否存在更低侵害替代方案。</w:t>
      </w:r>
    </w:p>
    <w:p w14:paraId="0755FE84">
      <w:pPr>
        <w:numPr>
          <w:ilvl w:val="0"/>
          <w:numId w:val="3"/>
        </w:numPr>
        <w:spacing w:before="0" w:after="0" w:line="360" w:lineRule="auto"/>
        <w:ind w:left="0" w:leftChars="0" w:firstLine="480" w:firstLineChars="0"/>
        <w:rPr>
          <w:rFonts w:ascii="Times New Roman" w:hAnsi="Times New Roman"/>
          <w:sz w:val="24"/>
        </w:rPr>
      </w:pPr>
      <w:r>
        <w:rPr>
          <w:rFonts w:ascii="Times New Roman" w:hAnsi="Times New Roman" w:eastAsia="宋体"/>
          <w:b/>
          <w:bCs/>
          <w:sz w:val="24"/>
        </w:rPr>
        <w:t>向第三方广告平台、监测平台或关联产品共享数据是否合法</w:t>
      </w:r>
    </w:p>
    <w:p w14:paraId="1AE54FF3">
      <w:pPr>
        <w:numPr>
          <w:ilvl w:val="0"/>
          <w:numId w:val="0"/>
        </w:numPr>
        <w:spacing w:before="0" w:after="0" w:line="360" w:lineRule="auto"/>
        <w:ind w:firstLine="480" w:firstLineChars="200"/>
        <w:rPr>
          <w:rFonts w:ascii="Times New Roman" w:hAnsi="Times New Roman"/>
          <w:sz w:val="24"/>
        </w:rPr>
      </w:pPr>
      <w:r>
        <w:rPr>
          <w:rFonts w:ascii="Times New Roman" w:hAnsi="Times New Roman" w:eastAsia="宋体"/>
          <w:b w:val="0"/>
          <w:sz w:val="24"/>
        </w:rPr>
        <w:t>根据《个人信息保护法》第二十一条、第二十三条，委托处理和向第三方提供个人信息需要明确处理目的、期限、方式、种类、保护措施和双方权利义务，并向个人告知接收方名称、联系方式、处理目的、处理方式和个人信息种类，取得个人单独同意。</w:t>
      </w:r>
    </w:p>
    <w:p w14:paraId="263FFCDE">
      <w:pPr>
        <w:numPr>
          <w:ilvl w:val="0"/>
          <w:numId w:val="3"/>
        </w:numPr>
        <w:spacing w:before="0" w:after="0" w:line="360" w:lineRule="auto"/>
        <w:ind w:left="0" w:leftChars="0" w:firstLine="480" w:firstLineChars="0"/>
        <w:rPr>
          <w:rFonts w:ascii="Times New Roman" w:hAnsi="Times New Roman"/>
          <w:sz w:val="24"/>
        </w:rPr>
      </w:pPr>
      <w:r>
        <w:rPr>
          <w:rFonts w:ascii="Times New Roman" w:hAnsi="Times New Roman" w:eastAsia="宋体"/>
          <w:b/>
          <w:bCs/>
          <w:sz w:val="24"/>
        </w:rPr>
        <w:t>自动化决策和个性化营销是否损害用户选择权</w:t>
      </w:r>
    </w:p>
    <w:p w14:paraId="0128702D">
      <w:pPr>
        <w:numPr>
          <w:ilvl w:val="0"/>
          <w:numId w:val="0"/>
        </w:numPr>
        <w:spacing w:before="0" w:after="0" w:line="360" w:lineRule="auto"/>
        <w:ind w:firstLine="480" w:firstLineChars="200"/>
        <w:rPr>
          <w:rFonts w:ascii="Times New Roman" w:hAnsi="Times New Roman"/>
          <w:sz w:val="24"/>
        </w:rPr>
      </w:pPr>
      <w:r>
        <w:rPr>
          <w:rFonts w:ascii="Times New Roman" w:hAnsi="Times New Roman" w:eastAsia="宋体"/>
          <w:b w:val="0"/>
          <w:sz w:val="24"/>
        </w:rPr>
        <w:t>根据《个人信息保护法》第二十四条和《互联网信息服务算法推荐管理规定》，通过自动化决策进行信息推送、商业营销，应当同时提供不针对个人特征的选项，或者向个人提供便捷的拒绝方式；算法推荐服务提供者应建立健全用户注册、信息审核、算法机制机理审核、科技伦理审查等制度。</w:t>
      </w:r>
    </w:p>
    <w:p w14:paraId="58F9E6AC">
      <w:pPr>
        <w:numPr>
          <w:ilvl w:val="0"/>
          <w:numId w:val="3"/>
        </w:numPr>
        <w:spacing w:before="0" w:after="0" w:line="360" w:lineRule="auto"/>
        <w:ind w:left="0" w:leftChars="0" w:firstLine="480" w:firstLineChars="0"/>
        <w:rPr>
          <w:rFonts w:ascii="Times New Roman" w:hAnsi="Times New Roman"/>
          <w:sz w:val="24"/>
        </w:rPr>
      </w:pPr>
      <w:r>
        <w:rPr>
          <w:rFonts w:ascii="Times New Roman" w:hAnsi="Times New Roman" w:eastAsia="宋体"/>
          <w:b/>
          <w:bCs/>
          <w:sz w:val="24"/>
        </w:rPr>
        <w:t>AIGC广告素材和数字人直播是否构成虚假宣传或侵权</w:t>
      </w:r>
    </w:p>
    <w:p w14:paraId="61DE525B">
      <w:pPr>
        <w:numPr>
          <w:ilvl w:val="0"/>
          <w:numId w:val="0"/>
        </w:numPr>
        <w:spacing w:before="0" w:after="0" w:line="360" w:lineRule="auto"/>
        <w:ind w:firstLine="480" w:firstLineChars="200"/>
        <w:rPr>
          <w:rFonts w:ascii="Times New Roman" w:hAnsi="Times New Roman"/>
          <w:sz w:val="24"/>
        </w:rPr>
      </w:pPr>
      <w:r>
        <w:rPr>
          <w:rFonts w:ascii="Times New Roman" w:hAnsi="Times New Roman" w:eastAsia="宋体"/>
          <w:b w:val="0"/>
          <w:sz w:val="24"/>
        </w:rPr>
        <w:t>根据《广告法》第四条、第二十八条，《反不正当竞争法》第二条、第八条，以及《民法典》人格权编相关规定，AI生成广告仍应真实、合法，不得含有虚假或者引人误解内容，不得冒用他人肖像、声音、姓名，不得以技术中立为由规避广告主、广告经营者和发布者的审查义务。</w:t>
      </w:r>
    </w:p>
    <w:p w14:paraId="651E1082">
      <w:pPr>
        <w:numPr>
          <w:ilvl w:val="0"/>
          <w:numId w:val="3"/>
        </w:numPr>
        <w:spacing w:before="0" w:after="0" w:line="360" w:lineRule="auto"/>
        <w:ind w:left="0" w:leftChars="0" w:firstLine="480" w:firstLineChars="0"/>
        <w:rPr>
          <w:rFonts w:ascii="Times New Roman" w:hAnsi="Times New Roman"/>
          <w:sz w:val="24"/>
        </w:rPr>
      </w:pPr>
      <w:r>
        <w:rPr>
          <w:rFonts w:ascii="Times New Roman" w:hAnsi="Times New Roman" w:eastAsia="宋体"/>
          <w:b/>
          <w:bCs/>
          <w:sz w:val="24"/>
        </w:rPr>
        <w:t>AI入口和数据抓取是否引发竞争法问题</w:t>
      </w:r>
    </w:p>
    <w:p w14:paraId="6CB76AD2">
      <w:pPr>
        <w:numPr>
          <w:ilvl w:val="0"/>
          <w:numId w:val="0"/>
        </w:numPr>
        <w:spacing w:before="0" w:after="0" w:line="360" w:lineRule="auto"/>
        <w:ind w:firstLine="480" w:firstLineChars="200"/>
        <w:rPr>
          <w:rFonts w:ascii="Times New Roman" w:hAnsi="Times New Roman"/>
          <w:sz w:val="24"/>
        </w:rPr>
      </w:pPr>
      <w:r>
        <w:rPr>
          <w:rFonts w:ascii="Times New Roman" w:hAnsi="Times New Roman" w:eastAsia="宋体"/>
          <w:b w:val="0"/>
          <w:sz w:val="24"/>
        </w:rPr>
        <w:t>根据《反不正当竞争法》第二条、第十二条，以及反垄断法关于滥用市场支配地位、限定交易和自我优待的基本规则，AI助手、操作系统、超级平台若通过接口封锁、排序降权、排他绑定、限制抓取或优先调用自有服务排除竞争，可能引发数据访问、公平接入和流量分配争议。</w:t>
      </w:r>
    </w:p>
    <w:p w14:paraId="0C94AFA4">
      <w:pPr>
        <w:numPr>
          <w:ilvl w:val="0"/>
          <w:numId w:val="1"/>
        </w:numPr>
        <w:spacing w:before="0" w:after="0" w:line="360" w:lineRule="auto"/>
        <w:ind w:left="0" w:leftChars="0" w:firstLine="0" w:firstLineChars="0"/>
        <w:rPr>
          <w:rFonts w:ascii="Times New Roman" w:hAnsi="Times New Roman"/>
          <w:sz w:val="24"/>
        </w:rPr>
      </w:pPr>
      <w:r>
        <w:rPr>
          <w:rFonts w:ascii="Times New Roman" w:hAnsi="Times New Roman" w:eastAsia="宋体"/>
          <w:b/>
          <w:sz w:val="24"/>
        </w:rPr>
        <w:t>具体案例</w:t>
      </w:r>
    </w:p>
    <w:p w14:paraId="6A050694">
      <w:pPr>
        <w:numPr>
          <w:ilvl w:val="0"/>
          <w:numId w:val="4"/>
        </w:numPr>
        <w:spacing w:before="0" w:after="0" w:line="360" w:lineRule="auto"/>
        <w:ind w:firstLine="0"/>
        <w:rPr>
          <w:rFonts w:hint="eastAsia" w:ascii="Times New Roman" w:hAnsi="Times New Roman" w:eastAsia="宋体"/>
          <w:color w:val="FF0000"/>
          <w:sz w:val="24"/>
          <w:lang w:eastAsia="zh-CN"/>
        </w:rPr>
      </w:pPr>
      <w:r>
        <w:rPr>
          <w:rFonts w:ascii="Times New Roman" w:hAnsi="Times New Roman" w:eastAsia="宋体"/>
          <w:b/>
          <w:color w:val="FF0000"/>
          <w:sz w:val="24"/>
        </w:rPr>
        <w:t>案例一：App强制收集用户画像并进行个性化推送案</w:t>
      </w:r>
      <w:r>
        <w:rPr>
          <w:rFonts w:hint="eastAsia" w:ascii="Times New Roman" w:hAnsi="Times New Roman"/>
          <w:b/>
          <w:color w:val="FF0000"/>
          <w:sz w:val="24"/>
          <w:lang w:eastAsia="zh-CN"/>
        </w:rPr>
        <w:t>（北京互联网法院于2022年做出的全国首例适用民法典裁判的APP强制收集用户画像信息侵权案）</w:t>
      </w:r>
    </w:p>
    <w:p w14:paraId="4F34CA7D">
      <w:pPr>
        <w:numPr>
          <w:ilvl w:val="0"/>
          <w:numId w:val="5"/>
        </w:numPr>
        <w:spacing w:before="0" w:after="0" w:line="360" w:lineRule="auto"/>
        <w:rPr>
          <w:rFonts w:ascii="Times New Roman" w:hAnsi="Times New Roman" w:eastAsia="宋体"/>
          <w:b w:val="0"/>
          <w:sz w:val="24"/>
        </w:rPr>
      </w:pPr>
      <w:r>
        <w:rPr>
          <w:rFonts w:ascii="Times New Roman" w:hAnsi="Times New Roman" w:eastAsia="宋体"/>
          <w:b w:val="0"/>
          <w:sz w:val="24"/>
        </w:rPr>
        <w:t>案例事实</w:t>
      </w:r>
    </w:p>
    <w:p w14:paraId="5EF45550">
      <w:pPr>
        <w:numPr>
          <w:ilvl w:val="0"/>
          <w:numId w:val="0"/>
        </w:numPr>
        <w:spacing w:before="0" w:after="0" w:line="360" w:lineRule="auto"/>
        <w:ind w:firstLine="480" w:firstLineChars="200"/>
        <w:rPr>
          <w:rFonts w:ascii="Times New Roman" w:hAnsi="Times New Roman" w:eastAsia="宋体"/>
          <w:b w:val="0"/>
          <w:sz w:val="24"/>
        </w:rPr>
      </w:pPr>
      <w:r>
        <w:rPr>
          <w:rFonts w:ascii="Times New Roman" w:hAnsi="Times New Roman" w:eastAsia="宋体"/>
          <w:b w:val="0"/>
          <w:sz w:val="24"/>
        </w:rPr>
        <w:t>用户罗某使用某软件时，软件运营者在未取得有效同意的情况下收集用户画像信息，并基于画像进行个性化推送；同时还存在未经同意发送营销短信、向关联软件共享信息等行为。原告要求查询、复制、删除个人信息并停止相关处理行为。</w:t>
      </w:r>
    </w:p>
    <w:p w14:paraId="15D30E6A">
      <w:pPr>
        <w:numPr>
          <w:ilvl w:val="0"/>
          <w:numId w:val="5"/>
        </w:numPr>
        <w:spacing w:before="0" w:after="0" w:line="360" w:lineRule="auto"/>
        <w:ind w:left="0" w:leftChars="0" w:firstLine="480" w:firstLineChars="0"/>
        <w:rPr>
          <w:rFonts w:ascii="Times New Roman" w:hAnsi="Times New Roman" w:eastAsia="宋体"/>
          <w:b w:val="0"/>
          <w:sz w:val="24"/>
        </w:rPr>
      </w:pPr>
      <w:r>
        <w:rPr>
          <w:rFonts w:hint="eastAsia" w:ascii="Times New Roman" w:hAnsi="Times New Roman"/>
          <w:b w:val="0"/>
          <w:sz w:val="24"/>
          <w:lang w:val="en-US" w:eastAsia="zh-CN"/>
        </w:rPr>
        <w:t>具体案情</w:t>
      </w:r>
    </w:p>
    <w:p w14:paraId="7EABEDB5">
      <w:pPr>
        <w:numPr>
          <w:ilvl w:val="0"/>
          <w:numId w:val="0"/>
        </w:numPr>
        <w:spacing w:before="0" w:after="0" w:line="360" w:lineRule="auto"/>
        <w:ind w:firstLine="480" w:firstLineChars="200"/>
        <w:rPr>
          <w:rFonts w:ascii="Times New Roman" w:hAnsi="Times New Roman" w:eastAsia="宋体"/>
          <w:b w:val="0"/>
          <w:sz w:val="24"/>
        </w:rPr>
      </w:pPr>
      <w:r>
        <w:rPr>
          <w:rFonts w:hint="eastAsia" w:ascii="Times New Roman" w:hAnsi="Times New Roman" w:eastAsia="宋体"/>
          <w:b w:val="0"/>
          <w:sz w:val="24"/>
        </w:rPr>
        <w:t>原告罗某诉称，被告在未告知隐私政策的情况下，要求用户必须填写“姓名”“职业”“学习目的”“英语水平”等内容才能完成登录，属于强制收集用户画像信息。原告诉至法院，要求法院判令被告向原告提供个人信息副本、停止侵权、删除个人信息、赔礼道歉并赔偿损失。被告辩称，根据被告服务的性质，需根据不同用户需求，为用户推荐合适的服务内容，因此，收集相关标签是提供服务所必须，并未违反个人信息收集的必要性原则，且该信息是原告主动填写，原告通过自己主动作出的行为同意了被告的收集行为。生效裁判经审理查明，根据原告取证显示，原告在登录涉案网站时，进入账号登录页面输入用户名和密码，点击登录，即出现若干问答界面，需要对用户“职业”“学习目的”“英语水平”等内容进行填写，填写完成后，还需填写个人基本信息界面，输入中英文名等必填内容才能完成注册，进入到首页使用界面。上述过程中并无“跳过”“拒绝”等选项，亦无关于同意收集个人信息的提示。</w:t>
      </w:r>
    </w:p>
    <w:p w14:paraId="3166AAF4">
      <w:pPr>
        <w:numPr>
          <w:ilvl w:val="0"/>
          <w:numId w:val="5"/>
        </w:numPr>
        <w:spacing w:before="0" w:after="0" w:line="360" w:lineRule="auto"/>
        <w:ind w:left="0" w:leftChars="0" w:firstLine="480" w:firstLineChars="0"/>
        <w:rPr>
          <w:rFonts w:hint="eastAsia" w:ascii="Times New Roman" w:hAnsi="Times New Roman" w:eastAsia="宋体"/>
          <w:b w:val="0"/>
          <w:sz w:val="24"/>
        </w:rPr>
      </w:pPr>
      <w:r>
        <w:rPr>
          <w:rFonts w:ascii="Times New Roman" w:hAnsi="Times New Roman" w:eastAsia="宋体"/>
          <w:b w:val="0"/>
          <w:sz w:val="24"/>
        </w:rPr>
        <w:t>争议焦点</w:t>
      </w:r>
    </w:p>
    <w:p w14:paraId="1BF60558">
      <w:pPr>
        <w:numPr>
          <w:ilvl w:val="0"/>
          <w:numId w:val="0"/>
        </w:numPr>
        <w:spacing w:before="0" w:after="0" w:line="360" w:lineRule="auto"/>
        <w:ind w:left="480" w:leftChars="0"/>
        <w:rPr>
          <w:rFonts w:hint="eastAsia" w:ascii="Times New Roman" w:hAnsi="Times New Roman" w:eastAsia="宋体"/>
          <w:b w:val="0"/>
          <w:sz w:val="24"/>
          <w:lang w:eastAsia="zh-CN"/>
        </w:rPr>
      </w:pPr>
      <w:r>
        <w:rPr>
          <w:rFonts w:ascii="Times New Roman" w:hAnsi="Times New Roman" w:eastAsia="宋体"/>
          <w:b w:val="0"/>
          <w:sz w:val="24"/>
        </w:rPr>
        <w:t>用户画像信息是否属于履行合同所必需；</w:t>
      </w:r>
      <w:r>
        <w:rPr>
          <w:rFonts w:hint="eastAsia" w:ascii="Times New Roman" w:hAnsi="Times New Roman" w:eastAsia="宋体"/>
          <w:b w:val="0"/>
          <w:sz w:val="24"/>
        </w:rPr>
        <w:t>被告是否取得“知情-同意”</w:t>
      </w:r>
      <w:r>
        <w:rPr>
          <w:rFonts w:hint="eastAsia" w:ascii="Times New Roman" w:hAnsi="Times New Roman"/>
          <w:b w:val="0"/>
          <w:sz w:val="24"/>
          <w:lang w:eastAsia="zh-CN"/>
        </w:rPr>
        <w:t>。</w:t>
      </w:r>
    </w:p>
    <w:p w14:paraId="522B73C9">
      <w:pPr>
        <w:numPr>
          <w:ilvl w:val="0"/>
          <w:numId w:val="5"/>
        </w:numPr>
        <w:spacing w:before="0" w:after="0" w:line="360" w:lineRule="auto"/>
        <w:ind w:left="0" w:leftChars="0" w:firstLine="480" w:firstLineChars="0"/>
        <w:rPr>
          <w:rFonts w:ascii="Times New Roman" w:hAnsi="Times New Roman"/>
          <w:sz w:val="24"/>
        </w:rPr>
      </w:pPr>
      <w:r>
        <w:rPr>
          <w:rFonts w:ascii="Times New Roman" w:hAnsi="Times New Roman" w:eastAsia="宋体"/>
          <w:b w:val="0"/>
          <w:sz w:val="24"/>
        </w:rPr>
        <w:t>涉及法律条文</w:t>
      </w:r>
    </w:p>
    <w:p w14:paraId="27BC1063">
      <w:pPr>
        <w:numPr>
          <w:ilvl w:val="0"/>
          <w:numId w:val="0"/>
        </w:numPr>
        <w:spacing w:before="0" w:after="0" w:line="360" w:lineRule="auto"/>
        <w:ind w:firstLine="480" w:firstLineChars="200"/>
        <w:rPr>
          <w:rFonts w:ascii="Times New Roman" w:hAnsi="Times New Roman"/>
          <w:sz w:val="24"/>
        </w:rPr>
      </w:pPr>
      <w:r>
        <w:rPr>
          <w:rFonts w:ascii="Times New Roman" w:hAnsi="Times New Roman" w:eastAsia="宋体"/>
          <w:b w:val="0"/>
          <w:sz w:val="24"/>
        </w:rPr>
        <w:t>《个人信息保护法》第十三条、第十七条、第二十三条、第二十四条、第四十五条、第四十七条；《民法典》第一千零三十四条、第一千零三十五条、第一千零三十八条；《消费者权益保护法》第二十九条。</w:t>
      </w:r>
    </w:p>
    <w:p w14:paraId="034E93E3">
      <w:pPr>
        <w:numPr>
          <w:ilvl w:val="0"/>
          <w:numId w:val="5"/>
        </w:numPr>
        <w:spacing w:before="0" w:after="0" w:line="360" w:lineRule="auto"/>
        <w:ind w:left="0" w:leftChars="0" w:firstLine="480" w:firstLineChars="0"/>
        <w:rPr>
          <w:rFonts w:ascii="Times New Roman" w:hAnsi="Times New Roman" w:eastAsia="宋体"/>
          <w:b w:val="0"/>
          <w:sz w:val="24"/>
        </w:rPr>
      </w:pPr>
      <w:r>
        <w:rPr>
          <w:rFonts w:ascii="Times New Roman" w:hAnsi="Times New Roman" w:eastAsia="宋体"/>
          <w:b w:val="0"/>
          <w:sz w:val="24"/>
        </w:rPr>
        <w:t>法院判决/处理结果</w:t>
      </w:r>
    </w:p>
    <w:p w14:paraId="456971D9">
      <w:pPr>
        <w:numPr>
          <w:ilvl w:val="0"/>
          <w:numId w:val="0"/>
        </w:numPr>
        <w:spacing w:before="0" w:after="0" w:line="360" w:lineRule="auto"/>
        <w:ind w:firstLine="480" w:firstLineChars="200"/>
        <w:rPr>
          <w:rFonts w:ascii="Times New Roman" w:hAnsi="Times New Roman" w:eastAsia="宋体"/>
          <w:b w:val="0"/>
          <w:sz w:val="24"/>
        </w:rPr>
      </w:pPr>
      <w:r>
        <w:rPr>
          <w:rFonts w:ascii="Times New Roman" w:hAnsi="Times New Roman" w:eastAsia="宋体"/>
          <w:b w:val="0"/>
          <w:sz w:val="24"/>
        </w:rPr>
        <w:t>北京互联网法院认为，被告收集用户画像信息的行为并非履行合同所必需，亦未征得用户有效同意，构成侵权；未经同意发送营销短信、向关联软件共享信息亦构成侵权。法院判令被告向原告提供个人信息副本、删除个人信息、停止个人信息处理行为、赔礼道歉并赔偿维权支出。</w:t>
      </w:r>
    </w:p>
    <w:p w14:paraId="218A7778">
      <w:pPr>
        <w:numPr>
          <w:ilvl w:val="0"/>
          <w:numId w:val="6"/>
        </w:numPr>
        <w:spacing w:before="0" w:after="0" w:line="360" w:lineRule="auto"/>
        <w:ind w:firstLine="480"/>
        <w:rPr>
          <w:rFonts w:hint="eastAsia" w:ascii="Times New Roman" w:hAnsi="Times New Roman"/>
          <w:b w:val="0"/>
          <w:sz w:val="24"/>
          <w:lang w:val="en-US" w:eastAsia="zh-CN"/>
        </w:rPr>
      </w:pPr>
      <w:r>
        <w:rPr>
          <w:rFonts w:hint="eastAsia" w:ascii="Times New Roman" w:hAnsi="Times New Roman"/>
          <w:b w:val="0"/>
          <w:sz w:val="24"/>
          <w:lang w:val="en-US" w:eastAsia="zh-CN"/>
        </w:rPr>
        <w:t>被告收集行为是否构成订立履行合同所必需</w:t>
      </w:r>
    </w:p>
    <w:p w14:paraId="3F8F82D1">
      <w:pPr>
        <w:spacing w:before="0" w:after="0" w:line="360" w:lineRule="auto"/>
        <w:ind w:firstLine="480"/>
        <w:rPr>
          <w:rFonts w:hint="eastAsia" w:ascii="Times New Roman" w:hAnsi="Times New Roman"/>
          <w:b w:val="0"/>
          <w:sz w:val="24"/>
          <w:lang w:val="en-US" w:eastAsia="zh-CN"/>
        </w:rPr>
      </w:pPr>
      <w:r>
        <w:rPr>
          <w:rFonts w:ascii="Times New Roman" w:hAnsi="Times New Roman" w:eastAsia="宋体"/>
          <w:b w:val="0"/>
          <w:sz w:val="24"/>
        </w:rPr>
        <w:t>北京互联网法院</w:t>
      </w:r>
      <w:r>
        <w:rPr>
          <w:rFonts w:hint="eastAsia" w:ascii="Times New Roman" w:hAnsi="Times New Roman"/>
          <w:b w:val="0"/>
          <w:sz w:val="24"/>
          <w:lang w:val="en-US" w:eastAsia="zh-CN"/>
        </w:rPr>
        <w:t>结合相关行业规范和产品功能设置等判定涉案收集行为是否属于订立、履行合同所必需：</w:t>
      </w:r>
    </w:p>
    <w:p w14:paraId="0E11050E">
      <w:pPr>
        <w:numPr>
          <w:ilvl w:val="0"/>
          <w:numId w:val="7"/>
        </w:numPr>
        <w:spacing w:before="0" w:after="0" w:line="360" w:lineRule="auto"/>
        <w:ind w:firstLine="480"/>
        <w:rPr>
          <w:rFonts w:hint="default" w:ascii="Times New Roman" w:hAnsi="Times New Roman"/>
          <w:b w:val="0"/>
          <w:sz w:val="24"/>
          <w:lang w:val="en-US" w:eastAsia="zh-CN"/>
        </w:rPr>
      </w:pPr>
      <w:r>
        <w:rPr>
          <w:rFonts w:hint="default" w:ascii="Times New Roman" w:hAnsi="Times New Roman"/>
          <w:b w:val="0"/>
          <w:sz w:val="24"/>
          <w:lang w:val="en-US" w:eastAsia="zh-CN"/>
        </w:rPr>
        <w:t>从相关行业规范和标准上看，《常见类型移动互联网应用程序必要个人信息范围规定》，学习教育类APP基本功能服务为“在线辅导、网络课堂等”，必要个人信息为注册用户移动电话号码。从该规定可见，被告作为学习教育类软件，不应将电话号码之外的个人信息作为必要收集范围。《个人信息保护法》和《个人信息安全规范》等均明确规定，个性化决策推送信息不应作为必要或唯一的信息推送模式，需同时提供不针对个人特征的选项或提供便捷的拒绝方式。据此，被告不得以其仅提供个性化决策推送信息这一种业务模式为由，主张收集用户画像信息为其提供服务的前提。</w:t>
      </w:r>
    </w:p>
    <w:p w14:paraId="36078915">
      <w:pPr>
        <w:numPr>
          <w:ilvl w:val="0"/>
          <w:numId w:val="7"/>
        </w:numPr>
        <w:spacing w:before="0" w:after="0" w:line="360" w:lineRule="auto"/>
        <w:ind w:left="0" w:leftChars="0" w:firstLine="480" w:firstLineChars="0"/>
        <w:rPr>
          <w:rFonts w:hint="default" w:ascii="Times New Roman" w:hAnsi="Times New Roman"/>
          <w:b w:val="0"/>
          <w:sz w:val="24"/>
          <w:lang w:val="en-US" w:eastAsia="zh-CN"/>
        </w:rPr>
      </w:pPr>
      <w:r>
        <w:rPr>
          <w:rFonts w:hint="default" w:ascii="Times New Roman" w:hAnsi="Times New Roman"/>
          <w:b w:val="0"/>
          <w:sz w:val="24"/>
          <w:lang w:val="en-US" w:eastAsia="zh-CN"/>
        </w:rPr>
        <w:t>从涉案软件或网站功能设置本身上看，履行合同所必须的范围，应限定在软件或网络运营者提供的基本服务功能，或用户在有选择的基础上自主选择增加的附加功能。本案中，被告抗辩其收集目的为针对不同用户需求、精准推送适合用户的个性化课程，属于为增进用户体验优化设置的一种信息推送模式，然而，被告软件或网站提供服务的基本功能为提供在线课程视频流和相关图文、视频等信息，对用户画像信息进行收集的目的并非用于支撑其基础服务功能，亦无证据表明本案原告曾自主选择使用该项优化设置功能，故被告以其软件或网站功能实现为由实施收集行为的依据不足。</w:t>
      </w:r>
    </w:p>
    <w:p w14:paraId="67887AB9">
      <w:pPr>
        <w:numPr>
          <w:ilvl w:val="0"/>
          <w:numId w:val="6"/>
        </w:numPr>
        <w:spacing w:before="0" w:after="0" w:line="360" w:lineRule="auto"/>
        <w:ind w:left="0" w:leftChars="0" w:firstLine="480" w:firstLineChars="0"/>
        <w:rPr>
          <w:rFonts w:hint="eastAsia" w:ascii="Times New Roman" w:hAnsi="Times New Roman"/>
          <w:b w:val="0"/>
          <w:sz w:val="24"/>
          <w:lang w:val="en-US" w:eastAsia="zh-CN"/>
        </w:rPr>
      </w:pPr>
      <w:r>
        <w:rPr>
          <w:rFonts w:hint="eastAsia" w:ascii="Times New Roman" w:hAnsi="Times New Roman"/>
          <w:b w:val="0"/>
          <w:sz w:val="24"/>
          <w:lang w:val="en-US" w:eastAsia="zh-CN"/>
        </w:rPr>
        <w:t>被告是否取得“知情-同意”</w:t>
      </w:r>
    </w:p>
    <w:p w14:paraId="48CBE8FD">
      <w:pPr>
        <w:spacing w:before="0" w:after="0" w:line="360" w:lineRule="auto"/>
        <w:ind w:firstLine="480"/>
        <w:rPr>
          <w:rFonts w:hint="eastAsia" w:ascii="Times New Roman" w:hAnsi="Times New Roman"/>
          <w:b w:val="0"/>
          <w:sz w:val="24"/>
          <w:lang w:val="en-US" w:eastAsia="zh-CN"/>
        </w:rPr>
      </w:pPr>
      <w:r>
        <w:rPr>
          <w:rFonts w:hint="eastAsia" w:ascii="Times New Roman" w:hAnsi="Times New Roman"/>
          <w:b w:val="0"/>
          <w:sz w:val="24"/>
          <w:lang w:val="en-US" w:eastAsia="zh-CN"/>
        </w:rPr>
        <w:t>根据已查明的事实，由于被告在未经原告允许的情况下为原告配置了账户和密码，导致原告登录被告网站和软件时与一般用户注册界面不同，未经过勾选个人信息相关知情同意的步骤，直接进入登录页面，因此，被告在原告登录过程中收集用户画像信息，未事先征得原告同意。</w:t>
      </w:r>
    </w:p>
    <w:p w14:paraId="098CE567">
      <w:pPr>
        <w:spacing w:before="0" w:after="0" w:line="360" w:lineRule="auto"/>
        <w:ind w:firstLine="480"/>
        <w:rPr>
          <w:rFonts w:hint="default" w:ascii="Times New Roman" w:hAnsi="Times New Roman"/>
          <w:b w:val="0"/>
          <w:sz w:val="24"/>
          <w:lang w:val="en-US" w:eastAsia="zh-CN"/>
        </w:rPr>
      </w:pPr>
      <w:r>
        <w:rPr>
          <w:rFonts w:hint="eastAsia" w:ascii="Times New Roman" w:hAnsi="Times New Roman"/>
          <w:b w:val="0"/>
          <w:sz w:val="24"/>
          <w:lang w:val="en-US" w:eastAsia="zh-CN"/>
        </w:rPr>
        <w:t>在此基础上，原告主张，即使勾选了同意界面，被告在登录环节强制收集非必要信息，仍构成侵权。本案中，涉案软件在用户首次登陆界面要求用户提交职业类型、学龄阶段、英语水平的等相关信息，未设置“跳过”“拒绝”等不同意提交相关信息情况下的登陆方式，使得提交相关信息成为成功登录、进入到功能使用首页的唯一方式。此种同意或对个人信息的提供，是在信息主体不自由或不自愿的情况下，强迫或变相强迫地作出，不能被认定为有效同意。因此，在首次登录页面设置相关个人信息收集界面，未提供跳过或拒绝等选项，属于对原告个人信息的强制收集，不产生获取有效授权同意的效力。综上，被告未事先征得原告有效同意，在涉案两款产品中强制收集原告职业、学龄阶段、英语水平、学习目的等用户画像信息的行为构成侵权。</w:t>
      </w:r>
    </w:p>
    <w:p w14:paraId="3281EE7C">
      <w:pPr>
        <w:numPr>
          <w:ilvl w:val="0"/>
          <w:numId w:val="5"/>
        </w:numPr>
        <w:spacing w:before="0" w:after="0" w:line="360" w:lineRule="auto"/>
        <w:ind w:left="0" w:leftChars="0" w:firstLine="480" w:firstLineChars="0"/>
        <w:rPr>
          <w:rFonts w:ascii="Times New Roman" w:hAnsi="Times New Roman"/>
          <w:sz w:val="24"/>
        </w:rPr>
      </w:pPr>
      <w:r>
        <w:rPr>
          <w:rFonts w:ascii="Times New Roman" w:hAnsi="Times New Roman" w:eastAsia="宋体"/>
          <w:b w:val="0"/>
          <w:sz w:val="24"/>
        </w:rPr>
        <w:t>法律问题分析</w:t>
      </w:r>
    </w:p>
    <w:p w14:paraId="4C6A8C87">
      <w:pPr>
        <w:numPr>
          <w:ilvl w:val="0"/>
          <w:numId w:val="0"/>
        </w:numPr>
        <w:spacing w:before="0" w:after="0" w:line="360" w:lineRule="auto"/>
        <w:ind w:firstLine="480" w:firstLineChars="200"/>
        <w:rPr>
          <w:rFonts w:ascii="Times New Roman" w:hAnsi="Times New Roman"/>
          <w:sz w:val="24"/>
        </w:rPr>
      </w:pPr>
      <w:r>
        <w:rPr>
          <w:rFonts w:ascii="Times New Roman" w:hAnsi="Times New Roman" w:eastAsia="宋体"/>
          <w:b w:val="0"/>
          <w:sz w:val="24"/>
        </w:rPr>
        <w:t>数字营销依赖画像和算法，但画像不是当然必要。若App基础功能可以在不画像的情况下实现，平台就不能将画像处理包装为合同必需。对关联软件共享而言，即便同属一个集团，也不能用一次概括授权替代向第三方提供个人信息的单独告知和同意。</w:t>
      </w:r>
    </w:p>
    <w:p w14:paraId="77D2B7AA">
      <w:pPr>
        <w:numPr>
          <w:ilvl w:val="0"/>
          <w:numId w:val="4"/>
        </w:numPr>
        <w:spacing w:before="0" w:after="0" w:line="360" w:lineRule="auto"/>
        <w:ind w:left="0" w:leftChars="0" w:firstLine="0" w:firstLineChars="0"/>
        <w:rPr>
          <w:rFonts w:hint="eastAsia" w:ascii="Times New Roman" w:hAnsi="Times New Roman" w:eastAsia="宋体"/>
          <w:color w:val="FF0000"/>
          <w:sz w:val="24"/>
          <w:lang w:eastAsia="zh-CN"/>
        </w:rPr>
      </w:pPr>
      <w:r>
        <w:rPr>
          <w:rFonts w:ascii="Times New Roman" w:hAnsi="Times New Roman" w:eastAsia="宋体"/>
          <w:b/>
          <w:color w:val="FF0000"/>
          <w:sz w:val="24"/>
        </w:rPr>
        <w:t>案例二：儿童短视频平台默认开启个性化推荐案</w:t>
      </w:r>
      <w:r>
        <w:rPr>
          <w:rFonts w:hint="eastAsia" w:ascii="Times New Roman" w:hAnsi="Times New Roman"/>
          <w:b/>
          <w:color w:val="FF0000"/>
          <w:sz w:val="24"/>
          <w:lang w:eastAsia="zh-CN"/>
        </w:rPr>
        <w:t>（全国首例儿童个人信息、网络安全保护民事公益诉讼</w:t>
      </w:r>
      <w:r>
        <w:rPr>
          <w:rFonts w:hint="eastAsia" w:ascii="Times New Roman" w:hAnsi="Times New Roman"/>
          <w:b/>
          <w:color w:val="FF0000"/>
          <w:sz w:val="24"/>
          <w:lang w:val="en-US" w:eastAsia="zh-CN"/>
        </w:rPr>
        <w:t xml:space="preserve"> </w:t>
      </w:r>
      <w:r>
        <w:rPr>
          <w:rFonts w:hint="eastAsia" w:ascii="Times New Roman" w:hAnsi="Times New Roman" w:eastAsia="宋体"/>
          <w:b/>
          <w:color w:val="FF0000"/>
          <w:sz w:val="24"/>
        </w:rPr>
        <w:t>杭州互联网法院（2020）浙0192民初10993号</w:t>
      </w:r>
      <w:r>
        <w:rPr>
          <w:rFonts w:hint="eastAsia" w:ascii="Times New Roman" w:hAnsi="Times New Roman"/>
          <w:b/>
          <w:color w:val="FF0000"/>
          <w:sz w:val="24"/>
          <w:lang w:eastAsia="zh-CN"/>
        </w:rPr>
        <w:t>）</w:t>
      </w:r>
    </w:p>
    <w:p w14:paraId="0F7E1589">
      <w:pPr>
        <w:numPr>
          <w:ilvl w:val="0"/>
          <w:numId w:val="8"/>
        </w:numPr>
        <w:spacing w:before="0" w:after="0" w:line="360" w:lineRule="auto"/>
        <w:ind w:firstLine="480"/>
        <w:rPr>
          <w:rFonts w:ascii="Times New Roman" w:hAnsi="Times New Roman"/>
          <w:sz w:val="24"/>
        </w:rPr>
      </w:pPr>
      <w:r>
        <w:rPr>
          <w:rFonts w:ascii="Times New Roman" w:hAnsi="Times New Roman" w:eastAsia="宋体"/>
          <w:b w:val="0"/>
          <w:sz w:val="24"/>
        </w:rPr>
        <w:t>案例事实</w:t>
      </w:r>
    </w:p>
    <w:p w14:paraId="6AA27118">
      <w:pPr>
        <w:numPr>
          <w:ilvl w:val="0"/>
          <w:numId w:val="0"/>
        </w:numPr>
        <w:spacing w:before="0" w:after="0" w:line="360" w:lineRule="auto"/>
        <w:ind w:firstLine="480" w:firstLineChars="200"/>
        <w:rPr>
          <w:rFonts w:ascii="Times New Roman" w:hAnsi="Times New Roman"/>
          <w:sz w:val="24"/>
        </w:rPr>
      </w:pPr>
      <w:r>
        <w:rPr>
          <w:rFonts w:hint="eastAsia" w:ascii="Times New Roman" w:hAnsi="Times New Roman" w:eastAsia="宋体"/>
          <w:b w:val="0"/>
          <w:sz w:val="24"/>
        </w:rPr>
        <w:t>某科技公司运营的某短视频App存在侵害众多不特定儿童个人信息的侵权行为，具体包括：1.未以显著、清晰的方式告知并征得儿童监护人有效明示同意的情况下，允许注册儿童账户，并收集、存储儿童网络账号、位置、联系方式，以及儿童面部识别特征、声音识别特征等个人敏感信息；2.在未再次征得儿童监护人有效明示同意的情况下，运用后台算法，向具有浏览儿童内容视频喜好的用户直接推送含有儿童个人信息的短视频；3.某短视频App未对儿童用户采取区分管理措施，默认用户点击“关注”后即可与儿童账户私信联系，并能获取其地理位置、面部特征等个人信息。公益诉讼起诉人认为，某科技公司前述行为侵害了社会公共利益，遂提起民事公益诉讼。在法院调解下，公益诉讼起诉人与被告某科技公司达成调解协议，某科技公司对调解事项已经履行完毕。</w:t>
      </w:r>
    </w:p>
    <w:p w14:paraId="76DB0465">
      <w:pPr>
        <w:numPr>
          <w:ilvl w:val="0"/>
          <w:numId w:val="8"/>
        </w:numPr>
        <w:spacing w:before="0" w:after="0" w:line="360" w:lineRule="auto"/>
        <w:ind w:left="0" w:leftChars="0" w:firstLine="480" w:firstLineChars="0"/>
        <w:rPr>
          <w:rFonts w:ascii="Times New Roman" w:hAnsi="Times New Roman"/>
          <w:sz w:val="24"/>
        </w:rPr>
      </w:pPr>
      <w:r>
        <w:rPr>
          <w:rFonts w:ascii="Times New Roman" w:hAnsi="Times New Roman" w:eastAsia="宋体"/>
          <w:b w:val="0"/>
          <w:sz w:val="24"/>
        </w:rPr>
        <w:t>争议焦点</w:t>
      </w:r>
    </w:p>
    <w:p w14:paraId="68336E4D">
      <w:pPr>
        <w:numPr>
          <w:ilvl w:val="0"/>
          <w:numId w:val="0"/>
        </w:numPr>
        <w:spacing w:before="0" w:after="0" w:line="360" w:lineRule="auto"/>
        <w:ind w:firstLine="480" w:firstLineChars="200"/>
        <w:rPr>
          <w:rFonts w:ascii="Times New Roman" w:hAnsi="Times New Roman"/>
          <w:sz w:val="24"/>
        </w:rPr>
      </w:pPr>
      <w:r>
        <w:rPr>
          <w:rFonts w:ascii="Times New Roman" w:hAnsi="Times New Roman" w:eastAsia="宋体"/>
          <w:b w:val="0"/>
          <w:sz w:val="24"/>
        </w:rPr>
        <w:t>儿童个人信息能否用于画像和个性化推荐；默认开启个性化推荐是否符合监护人同意规则；含有儿童个人信息的内容能否通过算法向不特定用户分发。</w:t>
      </w:r>
    </w:p>
    <w:p w14:paraId="513E409C">
      <w:pPr>
        <w:numPr>
          <w:ilvl w:val="0"/>
          <w:numId w:val="8"/>
        </w:numPr>
        <w:spacing w:before="0" w:after="0" w:line="360" w:lineRule="auto"/>
        <w:ind w:left="0" w:leftChars="0" w:firstLine="480" w:firstLineChars="0"/>
        <w:rPr>
          <w:rFonts w:ascii="Times New Roman" w:hAnsi="Times New Roman"/>
          <w:sz w:val="24"/>
        </w:rPr>
      </w:pPr>
      <w:r>
        <w:rPr>
          <w:rFonts w:ascii="Times New Roman" w:hAnsi="Times New Roman" w:eastAsia="宋体"/>
          <w:b w:val="0"/>
          <w:sz w:val="24"/>
        </w:rPr>
        <w:t>涉及法律条文</w:t>
      </w:r>
    </w:p>
    <w:p w14:paraId="684B56D8">
      <w:pPr>
        <w:numPr>
          <w:ilvl w:val="0"/>
          <w:numId w:val="0"/>
        </w:numPr>
        <w:spacing w:before="0" w:after="0" w:line="360" w:lineRule="auto"/>
        <w:ind w:firstLine="480" w:firstLineChars="200"/>
        <w:rPr>
          <w:rFonts w:ascii="Times New Roman" w:hAnsi="Times New Roman"/>
          <w:sz w:val="24"/>
        </w:rPr>
      </w:pPr>
      <w:r>
        <w:rPr>
          <w:rFonts w:ascii="Times New Roman" w:hAnsi="Times New Roman" w:eastAsia="宋体"/>
          <w:b w:val="0"/>
          <w:sz w:val="24"/>
        </w:rPr>
        <w:t>《个人信息保护法》第十五条、第十七条、第二十四条、第二十八条、第三十一条；《未成年人网络保护条例》关于未成年人个人信息保护的规定；《儿童个人信息网络保护规定》第八条、第九条、第十条；《互联网信息服务算法推荐管理规定》。</w:t>
      </w:r>
    </w:p>
    <w:p w14:paraId="020A5528">
      <w:pPr>
        <w:numPr>
          <w:ilvl w:val="0"/>
          <w:numId w:val="8"/>
        </w:numPr>
        <w:spacing w:before="0" w:after="0" w:line="360" w:lineRule="auto"/>
        <w:ind w:left="0" w:leftChars="0" w:firstLine="480" w:firstLineChars="0"/>
        <w:rPr>
          <w:rFonts w:ascii="Times New Roman" w:hAnsi="Times New Roman" w:eastAsia="宋体"/>
          <w:b w:val="0"/>
          <w:sz w:val="24"/>
        </w:rPr>
      </w:pPr>
      <w:r>
        <w:rPr>
          <w:rFonts w:ascii="Times New Roman" w:hAnsi="Times New Roman" w:eastAsia="宋体"/>
          <w:b w:val="0"/>
          <w:sz w:val="24"/>
        </w:rPr>
        <w:t>法院判决/处理结果</w:t>
      </w:r>
    </w:p>
    <w:p w14:paraId="22E75BCD">
      <w:pPr>
        <w:numPr>
          <w:ilvl w:val="0"/>
          <w:numId w:val="0"/>
        </w:numPr>
        <w:spacing w:before="0" w:after="0" w:line="360" w:lineRule="auto"/>
        <w:ind w:firstLine="480" w:firstLineChars="200"/>
        <w:rPr>
          <w:rFonts w:ascii="Times New Roman" w:hAnsi="Times New Roman" w:eastAsia="宋体"/>
          <w:b w:val="0"/>
          <w:sz w:val="24"/>
        </w:rPr>
      </w:pPr>
      <w:r>
        <w:rPr>
          <w:rFonts w:ascii="Times New Roman" w:hAnsi="Times New Roman" w:eastAsia="宋体"/>
          <w:b w:val="0"/>
          <w:sz w:val="24"/>
        </w:rPr>
        <w:t>杭州互联网法院发布的个人信息保护典型案例裁判要旨指出，儿童个人信息属于敏感个人信息；信息处理者未获监护人同意默认开启个性化推荐，运用算法进行内容推送，应认定为违法处理儿童个人信息；未建立儿童个人信息专门保护机制、未加密存储的，也构成违规。</w:t>
      </w:r>
    </w:p>
    <w:p w14:paraId="52364BF9">
      <w:pPr>
        <w:numPr>
          <w:ilvl w:val="0"/>
          <w:numId w:val="9"/>
        </w:numPr>
        <w:spacing w:before="0" w:after="0" w:line="360" w:lineRule="auto"/>
        <w:ind w:left="0" w:leftChars="0" w:firstLine="480" w:firstLineChars="200"/>
        <w:rPr>
          <w:rFonts w:hint="eastAsia" w:ascii="Times New Roman" w:hAnsi="Times New Roman" w:eastAsia="宋体"/>
          <w:b w:val="0"/>
          <w:sz w:val="24"/>
        </w:rPr>
      </w:pPr>
      <w:r>
        <w:rPr>
          <w:rFonts w:hint="eastAsia" w:ascii="Times New Roman" w:hAnsi="Times New Roman" w:eastAsia="宋体"/>
          <w:b w:val="0"/>
          <w:sz w:val="24"/>
        </w:rPr>
        <w:t>面向儿童用户提供网络服务的互联网平台（信息处理者）在缺乏单独《儿童个人信息/隐私保护政策》和《儿童个人用户协议》，未采取合理措施通知监护人并征得监护人有效明示同意的情况下，处理儿童用户地理定位、联系方式、面部、肢体、声音等个人信息的，应认定为违法处理用户个人信息。</w:t>
      </w:r>
    </w:p>
    <w:p w14:paraId="384C4A7B">
      <w:pPr>
        <w:numPr>
          <w:ilvl w:val="0"/>
          <w:numId w:val="9"/>
        </w:numPr>
        <w:spacing w:before="0" w:after="0" w:line="360" w:lineRule="auto"/>
        <w:ind w:left="0" w:leftChars="0" w:firstLine="480" w:firstLineChars="200"/>
        <w:rPr>
          <w:rFonts w:hint="eastAsia" w:ascii="Times New Roman" w:hAnsi="Times New Roman" w:eastAsia="宋体"/>
          <w:b w:val="0"/>
          <w:sz w:val="24"/>
        </w:rPr>
      </w:pPr>
      <w:r>
        <w:rPr>
          <w:rFonts w:hint="eastAsia" w:ascii="Times New Roman" w:hAnsi="Times New Roman" w:eastAsia="宋体"/>
          <w:b w:val="0"/>
          <w:sz w:val="24"/>
        </w:rPr>
        <w:t>儿童个人信息属敏感个人信息，信息处理者未对儿童个人信息建立专门保护池，采取加密存储措施，应认定为违规存储儿童个人信息。</w:t>
      </w:r>
    </w:p>
    <w:p w14:paraId="171B9733">
      <w:pPr>
        <w:numPr>
          <w:ilvl w:val="0"/>
          <w:numId w:val="9"/>
        </w:numPr>
        <w:spacing w:before="0" w:after="0" w:line="360" w:lineRule="auto"/>
        <w:ind w:left="0" w:leftChars="0" w:firstLine="480" w:firstLineChars="200"/>
        <w:rPr>
          <w:rFonts w:hint="eastAsia" w:ascii="Times New Roman" w:hAnsi="Times New Roman" w:eastAsia="宋体"/>
          <w:b w:val="0"/>
          <w:sz w:val="24"/>
        </w:rPr>
      </w:pPr>
      <w:r>
        <w:rPr>
          <w:rFonts w:hint="eastAsia" w:ascii="Times New Roman" w:hAnsi="Times New Roman" w:eastAsia="宋体"/>
          <w:b w:val="0"/>
          <w:sz w:val="24"/>
        </w:rPr>
        <w:t>信息处理者在未获得儿童监护人单独授权同意的情况下，基于算法的自动化决策将含有儿童用户个人信息的短视频向其他用户进行推送，应认定为违法处理儿童个人信息。</w:t>
      </w:r>
    </w:p>
    <w:p w14:paraId="08288C2D">
      <w:pPr>
        <w:numPr>
          <w:ilvl w:val="0"/>
          <w:numId w:val="9"/>
        </w:numPr>
        <w:spacing w:before="0" w:after="0" w:line="360" w:lineRule="auto"/>
        <w:ind w:left="0" w:leftChars="0" w:firstLine="480" w:firstLineChars="200"/>
        <w:rPr>
          <w:rFonts w:hint="eastAsia" w:ascii="Times New Roman" w:hAnsi="Times New Roman" w:eastAsia="宋体"/>
          <w:b w:val="0"/>
          <w:sz w:val="24"/>
        </w:rPr>
      </w:pPr>
      <w:r>
        <w:rPr>
          <w:rFonts w:hint="eastAsia" w:ascii="Times New Roman" w:hAnsi="Times New Roman" w:eastAsia="宋体"/>
          <w:b w:val="0"/>
          <w:sz w:val="24"/>
        </w:rPr>
        <w:t>信息处理者对儿童用户进行画像，未获监护人同意默认开启个性化推荐，运用算法进行内容推送，应认定为违法处理儿童个人信息。</w:t>
      </w:r>
    </w:p>
    <w:p w14:paraId="123BC7C9">
      <w:pPr>
        <w:numPr>
          <w:ilvl w:val="0"/>
          <w:numId w:val="9"/>
        </w:numPr>
        <w:spacing w:before="0" w:after="0" w:line="360" w:lineRule="auto"/>
        <w:ind w:left="0" w:leftChars="0" w:firstLine="480" w:firstLineChars="200"/>
        <w:rPr>
          <w:rFonts w:hint="eastAsia" w:ascii="Times New Roman" w:hAnsi="Times New Roman" w:eastAsia="宋体"/>
          <w:b w:val="0"/>
          <w:sz w:val="24"/>
        </w:rPr>
      </w:pPr>
      <w:r>
        <w:rPr>
          <w:rFonts w:hint="eastAsia" w:ascii="Times New Roman" w:hAnsi="Times New Roman" w:eastAsia="宋体"/>
          <w:b w:val="0"/>
          <w:sz w:val="24"/>
        </w:rPr>
        <w:t>信息处理者在征得监护人同意前，对儿童用户未强制开启陌生人关注限制功能、未强制隐藏儿童用户位置、未强制开启儿童用户私信限制、未强制关闭儿童用户通讯录推荐、未强制关闭通过手机号搜索儿童用户功能、未强制关闭儿童“熟人圈”功能、未强制关闭儿童动态展示功能、未强制关闭推荐儿童给可能感兴趣的人、未强制开启儿童作品在同城不显示等功能，应认定为未履行对儿童用户的隐私安全保护义务。</w:t>
      </w:r>
    </w:p>
    <w:p w14:paraId="1C494055">
      <w:pPr>
        <w:numPr>
          <w:ilvl w:val="0"/>
          <w:numId w:val="9"/>
        </w:numPr>
        <w:spacing w:before="0" w:after="0" w:line="360" w:lineRule="auto"/>
        <w:ind w:left="0" w:leftChars="0" w:firstLine="480" w:firstLineChars="200"/>
        <w:rPr>
          <w:rFonts w:ascii="Times New Roman" w:hAnsi="Times New Roman" w:eastAsia="宋体"/>
          <w:b w:val="0"/>
          <w:sz w:val="24"/>
        </w:rPr>
      </w:pPr>
      <w:r>
        <w:rPr>
          <w:rFonts w:hint="eastAsia" w:ascii="Times New Roman" w:hAnsi="Times New Roman" w:eastAsia="宋体"/>
          <w:b w:val="0"/>
          <w:sz w:val="24"/>
        </w:rPr>
        <w:t>信息处理者侵害平台内不特定儿童用户个人信息权益，应认定为侵害社会不特定未成年人群体的社会公共利益。</w:t>
      </w:r>
    </w:p>
    <w:p w14:paraId="46AFEA50">
      <w:pPr>
        <w:numPr>
          <w:ilvl w:val="0"/>
          <w:numId w:val="8"/>
        </w:numPr>
        <w:spacing w:before="0" w:after="0" w:line="360" w:lineRule="auto"/>
        <w:ind w:left="0" w:leftChars="0" w:firstLine="480" w:firstLineChars="0"/>
        <w:rPr>
          <w:rFonts w:ascii="Times New Roman" w:hAnsi="Times New Roman"/>
          <w:sz w:val="24"/>
        </w:rPr>
      </w:pPr>
      <w:r>
        <w:rPr>
          <w:rFonts w:ascii="Times New Roman" w:hAnsi="Times New Roman" w:eastAsia="宋体"/>
          <w:b w:val="0"/>
          <w:sz w:val="24"/>
        </w:rPr>
        <w:t>法律问题分析</w:t>
      </w:r>
    </w:p>
    <w:p w14:paraId="00541117">
      <w:pPr>
        <w:numPr>
          <w:ilvl w:val="0"/>
          <w:numId w:val="0"/>
        </w:numPr>
        <w:spacing w:before="0" w:after="0" w:line="360" w:lineRule="auto"/>
        <w:ind w:firstLine="480" w:firstLineChars="200"/>
        <w:rPr>
          <w:rFonts w:ascii="Times New Roman" w:hAnsi="Times New Roman"/>
          <w:sz w:val="24"/>
        </w:rPr>
      </w:pPr>
      <w:r>
        <w:rPr>
          <w:rFonts w:ascii="Times New Roman" w:hAnsi="Times New Roman" w:eastAsia="宋体"/>
          <w:b w:val="0"/>
          <w:sz w:val="24"/>
        </w:rPr>
        <w:t>该案例可用于强调数字营销场景中的特殊主体保护。儿童用户的点击、观看、停留、声音、面部等数据具有高度敏感性，不能简单纳入普通商业推荐模型。平台需要设置儿童模式、监护人授权、默认关闭个性化推荐、内容可见范围控制、儿童数据专门保护池和加密存储机制。</w:t>
      </w:r>
    </w:p>
    <w:p w14:paraId="3360B444">
      <w:pPr>
        <w:numPr>
          <w:ilvl w:val="0"/>
          <w:numId w:val="4"/>
        </w:numPr>
        <w:spacing w:before="0" w:after="0" w:line="360" w:lineRule="auto"/>
        <w:ind w:left="0" w:leftChars="0" w:firstLine="0" w:firstLineChars="0"/>
        <w:rPr>
          <w:rFonts w:ascii="Times New Roman" w:hAnsi="Times New Roman"/>
          <w:color w:val="FF0000"/>
          <w:sz w:val="24"/>
        </w:rPr>
      </w:pPr>
      <w:r>
        <w:rPr>
          <w:rFonts w:ascii="Times New Roman" w:hAnsi="Times New Roman" w:eastAsia="宋体"/>
          <w:b/>
          <w:color w:val="FF0000"/>
          <w:sz w:val="24"/>
        </w:rPr>
        <w:t>案例三：电商平台与支付关联产品违规共享用户信息案</w:t>
      </w:r>
    </w:p>
    <w:p w14:paraId="3266D2D8">
      <w:pPr>
        <w:numPr>
          <w:ilvl w:val="0"/>
          <w:numId w:val="10"/>
        </w:numPr>
        <w:spacing w:before="0" w:after="0" w:line="360" w:lineRule="auto"/>
        <w:ind w:firstLine="480"/>
        <w:rPr>
          <w:rFonts w:ascii="Times New Roman" w:hAnsi="Times New Roman" w:eastAsia="宋体"/>
          <w:b w:val="0"/>
          <w:sz w:val="24"/>
        </w:rPr>
      </w:pPr>
      <w:r>
        <w:rPr>
          <w:rFonts w:ascii="Times New Roman" w:hAnsi="Times New Roman" w:eastAsia="宋体"/>
          <w:b w:val="0"/>
          <w:sz w:val="24"/>
        </w:rPr>
        <w:t>案例事实：</w:t>
      </w:r>
    </w:p>
    <w:p w14:paraId="6B7E2D7A">
      <w:pPr>
        <w:spacing w:before="0" w:after="0" w:line="360" w:lineRule="auto"/>
        <w:ind w:firstLine="480"/>
        <w:rPr>
          <w:rFonts w:hint="eastAsia" w:ascii="Times New Roman" w:hAnsi="Times New Roman" w:eastAsia="宋体"/>
          <w:b w:val="0"/>
          <w:sz w:val="24"/>
        </w:rPr>
      </w:pPr>
      <w:r>
        <w:rPr>
          <w:rFonts w:hint="eastAsia" w:ascii="Times New Roman" w:hAnsi="Times New Roman" w:eastAsia="宋体"/>
          <w:b w:val="0"/>
          <w:sz w:val="24"/>
        </w:rPr>
        <w:t>原告吴某诉称，其下载某电商购物App并使用个人手机号注册了账号。登录App后，原告发现某电商购物App“个人中心”栏项下有“某钱包”选项，遂按照App界面要求，在输入原告本人真实姓名及身份号码后开通了“某钱包”。在使用“某钱包”提供的“免输卡号添加银行卡”功能时，原告原本打算选择自己有卡的银行进行关联，但误触了列表中的某银行，得到了“暂无银行卡可以绑定”的反馈。原告认为，其并未授权某电商购物平台经营方告知某银行自己真实姓名及身份号码，某银行能够得知原告本人并无银行卡在该行开具，系案涉App泄露原告的敏感个人信息所致，而某银行亦因此非法获得了原告的敏感个人信息。其后，原告在某电商购物App内查阅了相关用户协议内容后还进一步发现， App的运营主体上海某公司与“某钱包”经营主体某付费通公司的运营主体并不一致，而在原告并未明确知情同意的情况下，其真实身份信息还由上海某公司传输给了某付费通公司，并极可能又由某付费通公司传输给了某银行。原告自觉权利受损，遂决定注销“某钱包”，但竟然无法注销。故向法院提起诉讼。</w:t>
      </w:r>
    </w:p>
    <w:p w14:paraId="3A74BD21">
      <w:pPr>
        <w:spacing w:before="0" w:after="0" w:line="360" w:lineRule="auto"/>
        <w:ind w:firstLine="480"/>
        <w:rPr>
          <w:rFonts w:ascii="Times New Roman" w:hAnsi="Times New Roman" w:eastAsia="宋体"/>
          <w:b w:val="0"/>
          <w:sz w:val="24"/>
        </w:rPr>
      </w:pPr>
      <w:r>
        <w:rPr>
          <w:rFonts w:hint="eastAsia" w:ascii="Times New Roman" w:hAnsi="Times New Roman" w:eastAsia="宋体"/>
          <w:b w:val="0"/>
          <w:sz w:val="24"/>
        </w:rPr>
        <w:t>经查，案涉电商购物平台（APP）系由被告上海某公司运营的电商平台。某电商购物APP在应用程序个人用户界面上线了名为“某钱包”的支付服务应用功能，用户可通过“某钱包”的支付功能在平台内购物交易时进行充值、支付及提现等应用。“某钱包”的实际运营主体为某付费通公司。被告某付费通公司为实现用户“某钱包”账户绑定银行卡并具备银行卡快捷支付功能，与包括某银行公司在内的多家银行机构开展有银行卡快捷支付合作。原告吴某某使用案涉账号首次进入某电商购物APP“某钱包”界面填入的个人姓名、公民身份号码等信息，先由上海某公司收集、存储，在原告不知情的情况下，再由上海某公司提供给某付费通公司。当原告进入“某钱包”添加银行卡界面选择免输卡号进行银行卡绑定操作时，某付费通公司则会将其姓名、公民身份号码信息提供给选定绑卡的银行，银行获取前述信息后根据提供的信息验证该信息主体是否为该银行的持卡人，若为该行持卡人则留存该信息并进入后一步绑卡操作流程；若非为该行持卡人亦留存该信息并向某付费通公司反馈结果。</w:t>
      </w:r>
    </w:p>
    <w:p w14:paraId="7D3A0517">
      <w:pPr>
        <w:numPr>
          <w:ilvl w:val="0"/>
          <w:numId w:val="10"/>
        </w:numPr>
        <w:spacing w:before="0" w:after="0" w:line="360" w:lineRule="auto"/>
        <w:ind w:left="0" w:leftChars="0" w:firstLine="480" w:firstLineChars="0"/>
        <w:rPr>
          <w:rFonts w:ascii="Times New Roman" w:hAnsi="Times New Roman"/>
          <w:sz w:val="24"/>
        </w:rPr>
      </w:pPr>
      <w:r>
        <w:rPr>
          <w:rFonts w:ascii="Times New Roman" w:hAnsi="Times New Roman" w:eastAsia="宋体"/>
          <w:b w:val="0"/>
          <w:sz w:val="24"/>
        </w:rPr>
        <w:t>争议焦点</w:t>
      </w:r>
    </w:p>
    <w:p w14:paraId="2B55EA4E">
      <w:pPr>
        <w:numPr>
          <w:ilvl w:val="0"/>
          <w:numId w:val="0"/>
        </w:numPr>
        <w:spacing w:before="0" w:after="0" w:line="360" w:lineRule="auto"/>
        <w:ind w:firstLine="480" w:firstLineChars="200"/>
        <w:rPr>
          <w:rFonts w:ascii="Times New Roman" w:hAnsi="Times New Roman"/>
          <w:sz w:val="24"/>
        </w:rPr>
      </w:pPr>
      <w:r>
        <w:rPr>
          <w:rFonts w:ascii="Times New Roman" w:hAnsi="Times New Roman" w:eastAsia="宋体"/>
          <w:b w:val="0"/>
          <w:sz w:val="24"/>
        </w:rPr>
        <w:t>关联产品之间的数据共享是否可以基于“同一生态”当然进行；电商交易数据、支付数据和营销数据能否在未单独告知的情况下合并用于画像、推荐或商业运营。</w:t>
      </w:r>
    </w:p>
    <w:p w14:paraId="7D57269B">
      <w:pPr>
        <w:numPr>
          <w:ilvl w:val="0"/>
          <w:numId w:val="10"/>
        </w:numPr>
        <w:spacing w:before="0" w:after="0" w:line="360" w:lineRule="auto"/>
        <w:ind w:left="0" w:leftChars="0" w:firstLine="480" w:firstLineChars="0"/>
        <w:rPr>
          <w:rFonts w:ascii="Times New Roman" w:hAnsi="Times New Roman"/>
          <w:sz w:val="24"/>
        </w:rPr>
      </w:pPr>
      <w:r>
        <w:rPr>
          <w:rFonts w:ascii="Times New Roman" w:hAnsi="Times New Roman" w:eastAsia="宋体"/>
          <w:b w:val="0"/>
          <w:sz w:val="24"/>
        </w:rPr>
        <w:t>涉及法律条文</w:t>
      </w:r>
    </w:p>
    <w:p w14:paraId="21BC651B">
      <w:pPr>
        <w:numPr>
          <w:ilvl w:val="0"/>
          <w:numId w:val="0"/>
        </w:numPr>
        <w:spacing w:before="0" w:after="0" w:line="360" w:lineRule="auto"/>
        <w:ind w:firstLine="480" w:firstLineChars="200"/>
        <w:rPr>
          <w:rFonts w:ascii="Times New Roman" w:hAnsi="Times New Roman"/>
          <w:sz w:val="24"/>
        </w:rPr>
      </w:pPr>
      <w:r>
        <w:rPr>
          <w:rFonts w:ascii="Times New Roman" w:hAnsi="Times New Roman" w:eastAsia="宋体"/>
          <w:b w:val="0"/>
          <w:sz w:val="24"/>
        </w:rPr>
        <w:t>《个人信息保护法》第十三条、第十七条、第二十三条、第二十四条、第四十四条至第四十七条；《电子商务法》第十八条；《消费者权益保护法》第二十九条。</w:t>
      </w:r>
    </w:p>
    <w:p w14:paraId="48C11993">
      <w:pPr>
        <w:numPr>
          <w:ilvl w:val="0"/>
          <w:numId w:val="10"/>
        </w:numPr>
        <w:spacing w:before="0" w:after="0" w:line="360" w:lineRule="auto"/>
        <w:ind w:left="0" w:leftChars="0" w:firstLine="480" w:firstLineChars="0"/>
        <w:rPr>
          <w:rFonts w:ascii="Times New Roman" w:hAnsi="Times New Roman"/>
          <w:sz w:val="24"/>
        </w:rPr>
      </w:pPr>
      <w:r>
        <w:rPr>
          <w:rFonts w:ascii="Times New Roman" w:hAnsi="Times New Roman" w:eastAsia="宋体"/>
          <w:b w:val="0"/>
          <w:sz w:val="24"/>
        </w:rPr>
        <w:t>法院判决/处理结果</w:t>
      </w:r>
    </w:p>
    <w:p w14:paraId="495478AD">
      <w:pPr>
        <w:spacing w:before="0" w:after="0" w:line="360" w:lineRule="auto"/>
        <w:ind w:firstLine="480"/>
        <w:rPr>
          <w:rFonts w:hint="eastAsia" w:ascii="Times New Roman" w:hAnsi="Times New Roman" w:eastAsia="宋体"/>
          <w:b w:val="0"/>
          <w:sz w:val="24"/>
        </w:rPr>
      </w:pPr>
      <w:r>
        <w:rPr>
          <w:rFonts w:hint="eastAsia" w:ascii="Times New Roman" w:hAnsi="Times New Roman" w:eastAsia="宋体"/>
          <w:b w:val="0"/>
          <w:sz w:val="24"/>
        </w:rPr>
        <w:t>杭州互联网法院判决认为，某电商购物平台向某付费通公司提供其收集的吴某某个人信息的行为属于未明示信息处理的目的、方式、范围的行为，吴某某系在未充分知情的情况下实施对其个人信息披露的同意。某电商购物平台的上述行为既违反了其与吴某某之间的合同约定，也不符合个人信息处理活动应遵循的知情同意规则。某付费通公司收集吴某某个人信息时，某电商平台APP未以任何形式告知吴某某，某付费通公司将获取其案涉个人信息，更未以任何形式获得过吴某某的同意，亦不存在通过订立、履行合同必需规则或履行法定义务规则等获得处理吴某某个人信息的合法性基础。综上，某电商购物平台经营者、某付费通公司对吴某某个人信息的处理行为缺乏合法性基础，法院认定二者的信息处理行为侵害了吴某某的个人信息权益。</w:t>
      </w:r>
    </w:p>
    <w:p w14:paraId="1FBCB8D3">
      <w:pPr>
        <w:spacing w:before="0" w:after="0" w:line="360" w:lineRule="auto"/>
        <w:ind w:firstLine="480"/>
        <w:rPr>
          <w:rFonts w:hint="eastAsia" w:ascii="Times New Roman" w:hAnsi="Times New Roman" w:eastAsia="宋体"/>
          <w:b w:val="0"/>
          <w:sz w:val="24"/>
        </w:rPr>
      </w:pPr>
      <w:r>
        <w:rPr>
          <w:rFonts w:hint="eastAsia" w:ascii="Times New Roman" w:hAnsi="Times New Roman" w:eastAsia="宋体"/>
          <w:b w:val="0"/>
          <w:sz w:val="24"/>
        </w:rPr>
        <w:t>某电商购物平台经营者、某付费通公司违法处理吴某某的个人敏感信息。吴某某在未被充分告知的情况下披露了个人敏感信息，其因个人敏感信息被违法处理产生对个人信息风险的担忧，对个人生命健康、人格尊严或经济利益可能遭受严重损害或极易遭受损害产生恐惧、焦虑等情绪，可以认定为遭受到精神利益的害。且某电商购物平台经营者、某付费通公司作为行业内具有较大影响力的公司，更应严格依照法律法规处理用户个人信息，对于平台中违法处理个人信息的设置应予以及时发现、改进，并对相关的个人信息处理活动采取更加审慎、周密的方式，本案中某电商购物平台经营者、某付费通公司显未尽到前述注意义务，存在明显的过错。考虑到某电商购物平台经营者、某付费通公司对吴某某个人信息的处理行为存在意思联络，故判令两被告向吴某某进行书面道歉并赔偿相应合理维权支出。</w:t>
      </w:r>
    </w:p>
    <w:p w14:paraId="598C3FE0">
      <w:pPr>
        <w:numPr>
          <w:ilvl w:val="0"/>
          <w:numId w:val="10"/>
        </w:numPr>
        <w:spacing w:before="0" w:after="0" w:line="360" w:lineRule="auto"/>
        <w:ind w:left="0" w:leftChars="0" w:firstLine="480" w:firstLineChars="0"/>
        <w:rPr>
          <w:rFonts w:ascii="Times New Roman" w:hAnsi="Times New Roman"/>
          <w:sz w:val="24"/>
        </w:rPr>
      </w:pPr>
      <w:r>
        <w:rPr>
          <w:rFonts w:ascii="Times New Roman" w:hAnsi="Times New Roman" w:eastAsia="宋体"/>
          <w:b w:val="0"/>
          <w:sz w:val="24"/>
        </w:rPr>
        <w:t>法律问题分析</w:t>
      </w:r>
    </w:p>
    <w:p w14:paraId="6F30E04C">
      <w:pPr>
        <w:numPr>
          <w:ilvl w:val="0"/>
          <w:numId w:val="0"/>
        </w:numPr>
        <w:spacing w:before="0" w:after="0" w:line="360" w:lineRule="auto"/>
        <w:ind w:firstLine="480" w:firstLineChars="200"/>
        <w:rPr>
          <w:rFonts w:ascii="Times New Roman" w:hAnsi="Times New Roman"/>
          <w:sz w:val="24"/>
        </w:rPr>
      </w:pPr>
      <w:r>
        <w:rPr>
          <w:rFonts w:ascii="Times New Roman" w:hAnsi="Times New Roman" w:eastAsia="宋体"/>
          <w:b w:val="0"/>
          <w:sz w:val="24"/>
        </w:rPr>
        <w:t>一体化数字营销强调“数据全链路”和“经营闭环”，但法律上不能把生态闭环直接等同于授权闭环。交易履约、支付结算、售后服务、广告推荐、用户增长属于不同处理目的。即便数据能够提升转化率，也应通过分场景告知、分级授权、去标识化、权限隔离和可退出机制降低对用户权益的影响。</w:t>
      </w:r>
    </w:p>
    <w:p w14:paraId="6105071A">
      <w:pPr>
        <w:numPr>
          <w:ilvl w:val="0"/>
          <w:numId w:val="4"/>
        </w:numPr>
        <w:spacing w:before="0" w:after="0" w:line="360" w:lineRule="auto"/>
        <w:ind w:left="0" w:leftChars="0" w:firstLine="0" w:firstLineChars="0"/>
        <w:rPr>
          <w:rFonts w:ascii="Times New Roman" w:hAnsi="Times New Roman"/>
          <w:color w:val="FF0000"/>
          <w:sz w:val="24"/>
        </w:rPr>
      </w:pPr>
      <w:bookmarkStart w:id="0" w:name="_GoBack"/>
      <w:r>
        <w:rPr>
          <w:rFonts w:ascii="Times New Roman" w:hAnsi="Times New Roman" w:eastAsia="宋体"/>
          <w:b/>
          <w:color w:val="FF0000"/>
          <w:sz w:val="24"/>
        </w:rPr>
        <w:t>案例四：AEO/GEO恶性营销与AI语料投毒场景案</w:t>
      </w:r>
    </w:p>
    <w:bookmarkEnd w:id="0"/>
    <w:p w14:paraId="696AB5D1">
      <w:pPr>
        <w:numPr>
          <w:ilvl w:val="0"/>
          <w:numId w:val="11"/>
        </w:numPr>
        <w:spacing w:before="0" w:after="0" w:line="360" w:lineRule="auto"/>
        <w:ind w:firstLine="480"/>
        <w:rPr>
          <w:rFonts w:ascii="Times New Roman" w:hAnsi="Times New Roman"/>
          <w:sz w:val="24"/>
        </w:rPr>
      </w:pPr>
      <w:r>
        <w:rPr>
          <w:rFonts w:ascii="Times New Roman" w:hAnsi="Times New Roman" w:eastAsia="宋体"/>
          <w:b w:val="0"/>
          <w:sz w:val="24"/>
        </w:rPr>
        <w:t>案例事实</w:t>
      </w:r>
    </w:p>
    <w:p w14:paraId="2C2EE9A2">
      <w:pPr>
        <w:numPr>
          <w:ilvl w:val="0"/>
          <w:numId w:val="0"/>
        </w:numPr>
        <w:spacing w:before="0" w:after="0" w:line="360" w:lineRule="auto"/>
        <w:ind w:firstLine="480" w:firstLineChars="200"/>
        <w:rPr>
          <w:rFonts w:ascii="Times New Roman" w:hAnsi="Times New Roman"/>
          <w:sz w:val="24"/>
        </w:rPr>
      </w:pPr>
      <w:r>
        <w:rPr>
          <w:rFonts w:ascii="Times New Roman" w:hAnsi="Times New Roman" w:eastAsia="宋体"/>
          <w:b w:val="0"/>
          <w:sz w:val="24"/>
        </w:rPr>
        <w:t>AI时代内容创作进入AEO阶段，品牌需要使内容结构化、语义自洽，以适配AI检索与整合。但在实践中，也可能出现“互黑”模式：在AI上搜索某类产品时，竞争品牌被列入“黑榜”，并附带跳转链接至“十大差评榜”“五大消费者反映特别不好”等文章。公开报道还显示，GEO黑产可能通过批量伪造测评、虚构专家身份、植入隐蔽指令等方式影响大模型推荐结果。</w:t>
      </w:r>
    </w:p>
    <w:p w14:paraId="13FE72F3">
      <w:pPr>
        <w:numPr>
          <w:ilvl w:val="0"/>
          <w:numId w:val="11"/>
        </w:numPr>
        <w:spacing w:before="0" w:after="0" w:line="360" w:lineRule="auto"/>
        <w:ind w:left="0" w:leftChars="0" w:firstLine="480" w:firstLineChars="0"/>
        <w:rPr>
          <w:rFonts w:ascii="Times New Roman" w:hAnsi="Times New Roman"/>
          <w:sz w:val="24"/>
        </w:rPr>
      </w:pPr>
      <w:r>
        <w:rPr>
          <w:rFonts w:ascii="Times New Roman" w:hAnsi="Times New Roman" w:eastAsia="宋体"/>
          <w:b w:val="0"/>
          <w:sz w:val="24"/>
        </w:rPr>
        <w:t>争议焦点</w:t>
      </w:r>
    </w:p>
    <w:p w14:paraId="77971AF7">
      <w:pPr>
        <w:numPr>
          <w:ilvl w:val="0"/>
          <w:numId w:val="0"/>
        </w:numPr>
        <w:spacing w:before="0" w:after="0" w:line="360" w:lineRule="auto"/>
        <w:ind w:firstLine="480" w:firstLineChars="200"/>
        <w:rPr>
          <w:rFonts w:ascii="Times New Roman" w:hAnsi="Times New Roman"/>
          <w:sz w:val="24"/>
        </w:rPr>
      </w:pPr>
      <w:r>
        <w:rPr>
          <w:rFonts w:ascii="Times New Roman" w:hAnsi="Times New Roman" w:eastAsia="宋体"/>
          <w:b w:val="0"/>
          <w:sz w:val="24"/>
        </w:rPr>
        <w:t>经营者能否通过批量生成虚假测评、伪造专业内容、操纵AI答案来获取流量或打击竞争对手；AI搜索和推荐结果被操纵时，广告主、内容服务商、平台和AI服务提供者如何划分责任。</w:t>
      </w:r>
    </w:p>
    <w:p w14:paraId="307B37F9">
      <w:pPr>
        <w:numPr>
          <w:ilvl w:val="0"/>
          <w:numId w:val="11"/>
        </w:numPr>
        <w:spacing w:before="0" w:after="0" w:line="360" w:lineRule="auto"/>
        <w:ind w:left="0" w:leftChars="0" w:firstLine="480" w:firstLineChars="0"/>
        <w:rPr>
          <w:rFonts w:ascii="Times New Roman" w:hAnsi="Times New Roman"/>
          <w:sz w:val="24"/>
        </w:rPr>
      </w:pPr>
      <w:r>
        <w:rPr>
          <w:rFonts w:ascii="Times New Roman" w:hAnsi="Times New Roman" w:eastAsia="宋体"/>
          <w:b w:val="0"/>
          <w:sz w:val="24"/>
        </w:rPr>
        <w:t>涉及法律条文</w:t>
      </w:r>
    </w:p>
    <w:p w14:paraId="39239699">
      <w:pPr>
        <w:numPr>
          <w:ilvl w:val="0"/>
          <w:numId w:val="0"/>
        </w:numPr>
        <w:spacing w:before="0" w:after="0" w:line="360" w:lineRule="auto"/>
        <w:ind w:firstLine="480" w:firstLineChars="200"/>
        <w:rPr>
          <w:rFonts w:ascii="Times New Roman" w:hAnsi="Times New Roman"/>
          <w:sz w:val="24"/>
        </w:rPr>
      </w:pPr>
      <w:r>
        <w:rPr>
          <w:rFonts w:ascii="Times New Roman" w:hAnsi="Times New Roman" w:eastAsia="宋体"/>
          <w:b w:val="0"/>
          <w:sz w:val="24"/>
        </w:rPr>
        <w:t>《反不正当竞争法》第二条、第八条、第十一条、第十二条；《广告法》第四条、第二十八条；《消费者权益保护法》第八条、第二十条；《互联网广告管理办法》关于互联网广告可识别性和真实性的规定；《生成式人工智能服务管理暂行办法》关于生成内容真实准确、尊重合法权益的原则性要求。</w:t>
      </w:r>
    </w:p>
    <w:p w14:paraId="665A6260">
      <w:pPr>
        <w:numPr>
          <w:ilvl w:val="0"/>
          <w:numId w:val="11"/>
        </w:numPr>
        <w:spacing w:before="0" w:after="0" w:line="360" w:lineRule="auto"/>
        <w:ind w:left="0" w:leftChars="0" w:firstLine="480" w:firstLineChars="0"/>
        <w:rPr>
          <w:rFonts w:ascii="Times New Roman" w:hAnsi="Times New Roman"/>
          <w:sz w:val="24"/>
        </w:rPr>
      </w:pPr>
      <w:r>
        <w:rPr>
          <w:rFonts w:ascii="Times New Roman" w:hAnsi="Times New Roman" w:eastAsia="宋体"/>
          <w:b w:val="0"/>
          <w:sz w:val="24"/>
        </w:rPr>
        <w:t>法院判决/处理结果</w:t>
      </w:r>
    </w:p>
    <w:p w14:paraId="77BB9C11">
      <w:pPr>
        <w:numPr>
          <w:ilvl w:val="0"/>
          <w:numId w:val="0"/>
        </w:numPr>
        <w:spacing w:before="0" w:after="0" w:line="360" w:lineRule="auto"/>
        <w:ind w:firstLine="480" w:firstLineChars="200"/>
        <w:rPr>
          <w:rFonts w:ascii="Times New Roman" w:hAnsi="Times New Roman"/>
          <w:sz w:val="24"/>
        </w:rPr>
      </w:pPr>
      <w:r>
        <w:rPr>
          <w:rFonts w:ascii="Times New Roman" w:hAnsi="Times New Roman" w:eastAsia="宋体"/>
          <w:b w:val="0"/>
          <w:sz w:val="24"/>
        </w:rPr>
        <w:t>若进入司法程序，可能从虚假宣传、商业诋毁、流量劫持、数据抓取不正当竞争、消费者知情权侵害等路径认定责任；相关平台也可能被要求删除违法内容、停止不正当竞争、消除影响并赔偿损失。</w:t>
      </w:r>
    </w:p>
    <w:p w14:paraId="5498B7EC">
      <w:pPr>
        <w:numPr>
          <w:ilvl w:val="0"/>
          <w:numId w:val="11"/>
        </w:numPr>
        <w:spacing w:before="0" w:after="0" w:line="360" w:lineRule="auto"/>
        <w:ind w:left="0" w:leftChars="0" w:firstLine="480" w:firstLineChars="0"/>
        <w:rPr>
          <w:rFonts w:ascii="Times New Roman" w:hAnsi="Times New Roman"/>
          <w:sz w:val="24"/>
        </w:rPr>
      </w:pPr>
      <w:r>
        <w:rPr>
          <w:rFonts w:ascii="Times New Roman" w:hAnsi="Times New Roman" w:eastAsia="宋体"/>
          <w:b w:val="0"/>
          <w:sz w:val="24"/>
        </w:rPr>
        <w:t>法律问题分析</w:t>
      </w:r>
    </w:p>
    <w:p w14:paraId="509921F9">
      <w:pPr>
        <w:numPr>
          <w:ilvl w:val="0"/>
          <w:numId w:val="0"/>
        </w:numPr>
        <w:spacing w:before="0" w:after="0" w:line="360" w:lineRule="auto"/>
        <w:ind w:firstLine="480" w:firstLineChars="200"/>
        <w:rPr>
          <w:rFonts w:ascii="Times New Roman" w:hAnsi="Times New Roman"/>
          <w:sz w:val="24"/>
        </w:rPr>
      </w:pPr>
      <w:r>
        <w:rPr>
          <w:rFonts w:ascii="Times New Roman" w:hAnsi="Times New Roman" w:eastAsia="宋体"/>
          <w:b w:val="0"/>
          <w:sz w:val="24"/>
        </w:rPr>
        <w:t>当AI助手成为流量入口，经营者通过伪造语料影响AI输出，本质上仍是面向消费者和市场的商业表达。其法律评价要看是否造成消费者误认、是否损害竞争对手商誉、是否破坏公平竞争秩序。</w:t>
      </w:r>
    </w:p>
    <w:p w14:paraId="0164AB60">
      <w:pPr>
        <w:rPr>
          <w:rFonts w:ascii="Times New Roman" w:hAnsi="Times New Roman"/>
          <w:sz w:val="24"/>
        </w:rPr>
      </w:pPr>
    </w:p>
    <w:sectPr>
      <w:footerReference r:id="rId5" w:type="default"/>
      <w:pgSz w:w="12240" w:h="15840"/>
      <w:pgMar w:top="1440" w:right="1800" w:bottom="1440" w:left="1800" w:header="720" w:footer="720" w:gutter="0"/>
      <w:pgNumType w:fmt="decimal"/>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8782E1">
    <w:pPr>
      <w:pStyle w:val="2"/>
    </w:pPr>
  </w:p>
  <w:p w14:paraId="1FA79679">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CC6180F">
                          <w:pPr>
                            <w:pStyle w:val="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1CC6180F">
                    <w:pPr>
                      <w:pStyle w:val="2"/>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FEA673"/>
    <w:multiLevelType w:val="singleLevel"/>
    <w:tmpl w:val="81FEA673"/>
    <w:lvl w:ilvl="0" w:tentative="0">
      <w:start w:val="1"/>
      <w:numFmt w:val="decimal"/>
      <w:suff w:val="space"/>
      <w:lvlText w:val="%1、"/>
      <w:lvlJc w:val="left"/>
    </w:lvl>
  </w:abstractNum>
  <w:abstractNum w:abstractNumId="1">
    <w:nsid w:val="BEFF1F41"/>
    <w:multiLevelType w:val="singleLevel"/>
    <w:tmpl w:val="BEFF1F41"/>
    <w:lvl w:ilvl="0" w:tentative="0">
      <w:start w:val="1"/>
      <w:numFmt w:val="decimal"/>
      <w:suff w:val="space"/>
      <w:lvlText w:val="（%1）"/>
      <w:lvlJc w:val="left"/>
    </w:lvl>
  </w:abstractNum>
  <w:abstractNum w:abstractNumId="2">
    <w:nsid w:val="DFEFDD71"/>
    <w:multiLevelType w:val="singleLevel"/>
    <w:tmpl w:val="DFEFDD71"/>
    <w:lvl w:ilvl="0" w:tentative="0">
      <w:start w:val="1"/>
      <w:numFmt w:val="decimal"/>
      <w:suff w:val="space"/>
      <w:lvlText w:val="%1、"/>
      <w:lvlJc w:val="left"/>
    </w:lvl>
  </w:abstractNum>
  <w:abstractNum w:abstractNumId="3">
    <w:nsid w:val="EECCAAED"/>
    <w:multiLevelType w:val="singleLevel"/>
    <w:tmpl w:val="EECCAAED"/>
    <w:lvl w:ilvl="0" w:tentative="0">
      <w:start w:val="1"/>
      <w:numFmt w:val="decimal"/>
      <w:suff w:val="space"/>
      <w:lvlText w:val="（%1）"/>
      <w:lvlJc w:val="left"/>
    </w:lvl>
  </w:abstractNum>
  <w:abstractNum w:abstractNumId="4">
    <w:nsid w:val="EF7C77D7"/>
    <w:multiLevelType w:val="singleLevel"/>
    <w:tmpl w:val="EF7C77D7"/>
    <w:lvl w:ilvl="0" w:tentative="0">
      <w:start w:val="1"/>
      <w:numFmt w:val="chineseCounting"/>
      <w:suff w:val="space"/>
      <w:lvlText w:val="（%1）"/>
      <w:lvlJc w:val="left"/>
      <w:rPr>
        <w:rFonts w:hint="eastAsia"/>
      </w:rPr>
    </w:lvl>
  </w:abstractNum>
  <w:abstractNum w:abstractNumId="5">
    <w:nsid w:val="FD2ED352"/>
    <w:multiLevelType w:val="singleLevel"/>
    <w:tmpl w:val="FD2ED352"/>
    <w:lvl w:ilvl="0" w:tentative="0">
      <w:start w:val="1"/>
      <w:numFmt w:val="chineseCounting"/>
      <w:suff w:val="space"/>
      <w:lvlText w:val="（%1）"/>
      <w:lvlJc w:val="left"/>
      <w:rPr>
        <w:rFonts w:hint="eastAsia"/>
      </w:rPr>
    </w:lvl>
  </w:abstractNum>
  <w:abstractNum w:abstractNumId="6">
    <w:nsid w:val="FFFC10C7"/>
    <w:multiLevelType w:val="singleLevel"/>
    <w:tmpl w:val="FFFC10C7"/>
    <w:lvl w:ilvl="0" w:tentative="0">
      <w:start w:val="1"/>
      <w:numFmt w:val="chineseCounting"/>
      <w:suff w:val="space"/>
      <w:lvlText w:val="第%1，"/>
      <w:lvlJc w:val="left"/>
      <w:rPr>
        <w:rFonts w:hint="eastAsia"/>
      </w:rPr>
    </w:lvl>
  </w:abstractNum>
  <w:abstractNum w:abstractNumId="7">
    <w:nsid w:val="FFFE1569"/>
    <w:multiLevelType w:val="singleLevel"/>
    <w:tmpl w:val="FFFE1569"/>
    <w:lvl w:ilvl="0" w:tentative="0">
      <w:start w:val="1"/>
      <w:numFmt w:val="chineseCounting"/>
      <w:suff w:val="space"/>
      <w:lvlText w:val="（%1）"/>
      <w:lvlJc w:val="left"/>
      <w:rPr>
        <w:rFonts w:hint="eastAsia"/>
      </w:rPr>
    </w:lvl>
  </w:abstractNum>
  <w:abstractNum w:abstractNumId="8">
    <w:nsid w:val="5FFC48BB"/>
    <w:multiLevelType w:val="singleLevel"/>
    <w:tmpl w:val="5FFC48BB"/>
    <w:lvl w:ilvl="0" w:tentative="0">
      <w:start w:val="1"/>
      <w:numFmt w:val="decimal"/>
      <w:suff w:val="space"/>
      <w:lvlText w:val="%1、"/>
      <w:lvlJc w:val="left"/>
    </w:lvl>
  </w:abstractNum>
  <w:abstractNum w:abstractNumId="9">
    <w:nsid w:val="6EFEA20E"/>
    <w:multiLevelType w:val="singleLevel"/>
    <w:tmpl w:val="6EFEA20E"/>
    <w:lvl w:ilvl="0" w:tentative="0">
      <w:start w:val="1"/>
      <w:numFmt w:val="chineseCounting"/>
      <w:suff w:val="space"/>
      <w:lvlText w:val="%1、"/>
      <w:lvlJc w:val="left"/>
      <w:rPr>
        <w:rFonts w:hint="eastAsia"/>
      </w:rPr>
    </w:lvl>
  </w:abstractNum>
  <w:abstractNum w:abstractNumId="10">
    <w:nsid w:val="75DF35D2"/>
    <w:multiLevelType w:val="singleLevel"/>
    <w:tmpl w:val="75DF35D2"/>
    <w:lvl w:ilvl="0" w:tentative="0">
      <w:start w:val="1"/>
      <w:numFmt w:val="decimal"/>
      <w:suff w:val="space"/>
      <w:lvlText w:val="%1、"/>
      <w:lvlJc w:val="left"/>
    </w:lvl>
  </w:abstractNum>
  <w:num w:numId="1">
    <w:abstractNumId w:val="9"/>
  </w:num>
  <w:num w:numId="2">
    <w:abstractNumId w:val="5"/>
  </w:num>
  <w:num w:numId="3">
    <w:abstractNumId w:val="4"/>
  </w:num>
  <w:num w:numId="4">
    <w:abstractNumId w:val="7"/>
  </w:num>
  <w:num w:numId="5">
    <w:abstractNumId w:val="2"/>
  </w:num>
  <w:num w:numId="6">
    <w:abstractNumId w:val="1"/>
  </w:num>
  <w:num w:numId="7">
    <w:abstractNumId w:val="6"/>
  </w:num>
  <w:num w:numId="8">
    <w:abstractNumId w:val="8"/>
  </w:num>
  <w:num w:numId="9">
    <w:abstractNumId w:val="3"/>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99B8F9C"/>
    <w:rsid w:val="56B114A7"/>
    <w:rsid w:val="5D36795E"/>
    <w:rsid w:val="799B8F9C"/>
    <w:rsid w:val="7FDFB580"/>
    <w:rsid w:val="B6E72825"/>
    <w:rsid w:val="E1DDE2CC"/>
    <w:rsid w:val="E706EC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360" w:lineRule="auto"/>
      <w:ind w:firstLine="480"/>
    </w:pPr>
    <w:rPr>
      <w:rFonts w:ascii="宋体" w:hAnsi="宋体" w:eastAsia="宋体" w:cstheme="minorBidi"/>
      <w:sz w:val="24"/>
      <w:szCs w:val="22"/>
      <w:lang w:val="en-US" w:eastAsia="en-US" w:bidi="ar-SA"/>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 w:type="character" w:styleId="8">
    <w:name w:val="Hyperlink"/>
    <w:basedOn w:val="6"/>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7609</Words>
  <Characters>7734</Characters>
  <Lines>0</Lines>
  <Paragraphs>0</Paragraphs>
  <TotalTime>41</TotalTime>
  <ScaleCrop>false</ScaleCrop>
  <LinksUpToDate>false</LinksUpToDate>
  <CharactersWithSpaces>7736</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2026-06-13T06:42:00Z</dcterms:created>
  <dc:creator>李可心</dc:creator>
  <cp:lastModifiedBy>Lynn</cp:lastModifiedBy>
  <dcterms:modified xsi:type="dcterms:W3CDTF">2026-07-27T07:19:37Z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717CB924A5FF5A7B49AA2B6A1E8DA919_41</vt:lpwstr>
  </property>
  <property fmtid="{D5CDD505-2E9C-101B-9397-08002B2CF9AE}" pid="4" name="KSOTemplateDocerSaveRecord">
    <vt:lpwstr>eyJoZGlkIjoiYjNjNDk1ODFlMzQ2YWNjMmI2MDA0ZDEyNWMzYjVlNzEiLCJ1c2VySWQiOiIxMjA5MjM2NDU1In0=</vt:lpwstr>
  </property>
</Properties>
</file>