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3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4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Logo, fechas de la semana y</w:t>
      </w:r>
      <w:r>
        <w:t xml:space="preserve"> </w:t>
      </w:r>
      <w:r>
        <w:rPr>
          <w:bCs/>
          <w:b/>
        </w:rPr>
        <w:t xml:space="preserve">botón de apariencia</w:t>
      </w:r>
      <w:r>
        <w:t xml:space="preserve"> </w:t>
      </w:r>
      <w:r>
        <w:t xml:space="preserve">(◐ automática, ☾ oscura, ☀ clara).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Mis días · Mi semana · Preparación · Registro · Marco · Año · Buscar · Útiles · Mensajero.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numPr>
          <w:ilvl w:val="0"/>
          <w:numId w:val="1005"/>
        </w:numPr>
        <w:pStyle w:val="Compact"/>
      </w:pPr>
      <w:r>
        <w:t xml:space="preserve">El locutor marca sus días (lunes a viernes, lunes a sábado o los que elija). Un solo día = programa semanal: la tarjeta muestra introducción y resumen en un guion.</w:t>
      </w:r>
    </w:p>
    <w:p>
      <w:pPr>
        <w:numPr>
          <w:ilvl w:val="0"/>
          <w:numId w:val="1005"/>
        </w:numPr>
        <w:pStyle w:val="Compact"/>
      </w:pPr>
      <w:r>
        <w:t xml:space="preserve">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prompt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tamaño-de-letra"/>
    <w:p>
      <w:pPr>
        <w:pStyle w:val="Heading3"/>
      </w:pPr>
      <w:r>
        <w:t xml:space="preserve">Tamaño de letra</w:t>
      </w:r>
    </w:p>
    <w:p>
      <w:pPr>
        <w:pStyle w:val="FirstParagraph"/>
      </w:pPr>
      <w:r>
        <w:t xml:space="preserve">Botón «A» junto a la fecha: Normal, Grande (115 %) y Muy grande (130 %) para el contenido (cada tamaño se multiplica por la variable</w:t>
      </w:r>
      <w:r>
        <w:t xml:space="preserve"> </w:t>
      </w:r>
      <w:r>
        <w:rPr>
          <w:rStyle w:val="VerbatimChar"/>
        </w:rPr>
        <w:t xml:space="preserve">--fz</w:t>
      </w:r>
      <w:r>
        <w:t xml:space="preserve">; no se usa</w:t>
      </w:r>
      <w:r>
        <w:t xml:space="preserve"> </w:t>
      </w:r>
      <w:r>
        <w:rPr>
          <w:rStyle w:val="VerbatimChar"/>
        </w:rPr>
        <w:t xml:space="preserve">zoom</w:t>
      </w:r>
      <w:r>
        <w:t xml:space="preserve">, que algunas tabletas ignoran) (no para la ilustración), guardado en cada dispositivo (</w:t>
      </w:r>
      <w:r>
        <w:rPr>
          <w:rStyle w:val="VerbatimChar"/>
        </w:rPr>
        <w:t xml:space="preserve">localStorage["mensajero:letra"]</w:t>
      </w:r>
      <w:r>
        <w:t xml:space="preserve">). Los títulos con contenido (subtemas, ideas del repaso) van en minúscula normal y negrita, no en mayúsculas espaciadas.</w:t>
      </w:r>
    </w:p>
    <w:bookmarkEnd w:id="31"/>
    <w:bookmarkStart w:id="32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2"/>
    <w:bookmarkStart w:id="33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(peso 400 para el texto; letra mínima de 10,5 px y la mayoría de las etiquetas en 12–13 px; contraste de todo el texto ≥ 4,5:1 en oscuro y claro, medido sobre el fondo real), Nunito para «MENSAJERO», Dancing Script para «Suena bien, hace bien». Probado a 390 px y 1280 px sin desborde horizontal. Respeta «reducir movimiento».</w:t>
      </w:r>
    </w:p>
    <w:bookmarkEnd w:id="33"/>
    <w:bookmarkEnd w:id="34"/>
    <w:bookmarkStart w:id="35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5"/>
    <w:bookmarkStart w:id="36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6"/>
    <w:bookmarkStart w:id="37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7"/>
    <w:bookmarkStart w:id="38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9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9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9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9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9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9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9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9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9"/>
        </w:numPr>
        <w:pStyle w:val="Compact"/>
      </w:pPr>
      <w:r>
        <w:t xml:space="preserve">☐ Sitio en Netlify y variables de entorno.</w:t>
      </w:r>
    </w:p>
    <w:bookmarkEnd w:id="38"/>
    <w:bookmarkStart w:id="39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10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10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10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10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10"/>
        </w:numPr>
        <w:pStyle w:val="Compact"/>
      </w:pPr>
      <w:r>
        <w:t xml:space="preserve">El contenido no se puede descargar sin la clave.</w:t>
      </w:r>
    </w:p>
    <w:bookmarkEnd w:id="39"/>
    <w:bookmarkStart w:id="40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12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1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40"/>
    <w:bookmarkStart w:id="41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1"/>
    <w:bookmarkStart w:id="42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2026-10-21T23:49:14Z</dcterms:created>
  <dcterms:modified xsi:type="dcterms:W3CDTF">2026-10-21T23:49:14Z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