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123825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695325"/>
                    </a:xfrm>
                    <a:prstGeom prst="rect">
                      <a:avLst/>
                    </a:prstGeom>
                  </pic:spPr>
                </pic:pic>
              </a:graphicData>
            </a:graphic>
          </wp:inline>
        </w:drawing>
      </w:r>
    </w:p>
    <w:p>
      <w:pPr>
        <w:pStyle w:val="Title"/>
        <w:spacing w:after="60"/>
      </w:pPr>
      <w:r>
        <w:rPr>
          <w:b/>
          <w:bCs/>
          <w:color w:val="1F3B57"/>
          <w:sz w:val="34"/>
          <w:szCs w:val="34"/>
        </w:rPr>
        <w:t xml:space="preserve">Adviesrapport — Premium Pakket — Volledige analyse</w:t>
      </w:r>
    </w:p>
    <w:p>
      <w:pPr>
        <w:spacing w:after="200"/>
      </w:pPr>
      <w:r>
        <w:rPr>
          <w:i/>
          <w:iCs/>
          <w:color w:val="6B6B6B"/>
          <w:sz w:val="20"/>
          <w:szCs w:val="20"/>
        </w:rPr>
        <w:t xml:space="preserve">Een volledig onderbouwd plan, gebaseerd op een fysieke opname van uw bedrijfspand.</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339"/>
        <w:gridCol w:w="2339"/>
        <w:gridCol w:w="2339"/>
        <w:gridCol w:w="2339"/>
      </w:tblGrid>
      <w:tr>
        <w:tc>
          <w:tcPr>
            <w:tcW w:type="dxa" w:w="2339"/>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Klantnaam</w:t>
            </w:r>
          </w:p>
        </w:tc>
        <w:tc>
          <w:tcPr>
            <w:tcW w:type="dxa" w:w="233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c>
          <w:tcPr>
            <w:tcW w:type="dxa" w:w="2339"/>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Pandadres</w:t>
            </w:r>
          </w:p>
        </w:tc>
        <w:tc>
          <w:tcPr>
            <w:tcW w:type="dxa" w:w="233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r>
      <w:tr>
        <w:tc>
          <w:tcPr>
            <w:tcW w:type="dxa" w:w="2339"/>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Datum rapport</w:t>
            </w:r>
          </w:p>
        </w:tc>
        <w:tc>
          <w:tcPr>
            <w:tcW w:type="dxa" w:w="233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c>
          <w:tcPr>
            <w:tcW w:type="dxa" w:w="2339"/>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Adviseur</w:t>
            </w:r>
          </w:p>
        </w:tc>
        <w:tc>
          <w:tcPr>
            <w:tcW w:type="dxa" w:w="233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r>
      <w:tr>
        <w:tc>
          <w:tcPr>
            <w:tcW w:type="dxa" w:w="2339"/>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Pakket</w:t>
            </w:r>
          </w:p>
        </w:tc>
        <w:tc>
          <w:tcPr>
            <w:tcW w:type="dxa" w:w="233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Premium Pakket — Volledige analyse</w:t>
            </w:r>
          </w:p>
        </w:tc>
        <w:tc>
          <w:tcPr>
            <w:tcW w:type="dxa" w:w="2339"/>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Rapportnummer</w:t>
            </w:r>
          </w:p>
        </w:tc>
        <w:tc>
          <w:tcPr>
            <w:tcW w:type="dxa" w:w="233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r>
      <w:tr>
        <w:tc>
          <w:tcPr>
            <w:tcW w:type="dxa" w:w="2339"/>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Adviesbureau</w:t>
            </w:r>
          </w:p>
        </w:tc>
        <w:tc>
          <w:tcPr>
            <w:tcW w:type="dxa" w:w="233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c>
          <w:tcPr>
            <w:tcW w:type="dxa" w:w="2339"/>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Adres adviesbureau</w:t>
            </w:r>
          </w:p>
        </w:tc>
        <w:tc>
          <w:tcPr>
            <w:tcW w:type="dxa" w:w="233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r>
      <w:tr>
        <w:tc>
          <w:tcPr>
            <w:tcW w:type="dxa" w:w="2339"/>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Telefoon adviesbureau</w:t>
            </w:r>
          </w:p>
        </w:tc>
        <w:tc>
          <w:tcPr>
            <w:tcW w:type="dxa" w:w="233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c>
          <w:tcPr>
            <w:tcW w:type="dxa" w:w="2339"/>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E-mail adviesbureau</w:t>
            </w:r>
          </w:p>
        </w:tc>
        <w:tc>
          <w:tcPr>
            <w:tcW w:type="dxa" w:w="233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r>
    </w:tbl>
    <w:p>
      <w:pPr>
        <w:spacing w:after="120" w:before="260"/>
      </w:pPr>
      <w:r>
        <w:rPr>
          <w:b/>
          <w:bCs/>
          <w:color w:val="1F3B57"/>
          <w:sz w:val="24"/>
          <w:szCs w:val="24"/>
        </w:rPr>
        <w:t xml:space="preserve">1. Samenvatting</w:t>
      </w:r>
    </w:p>
    <w:p>
      <w:pPr>
        <w:spacing w:after="120"/>
      </w:pPr>
      <w:r>
        <w:rPr>
          <w:color w:val="222222"/>
          <w:sz w:val="20"/>
          <w:szCs w:val="20"/>
        </w:rPr>
        <w:t xml:space="preserve">[in te vullen — korte, heldere conclusie in maximaal 4-5 zinnen: belangrijkste kansen, verwachte besparing en aanbevolen vervolgstap.]</w:t>
      </w:r>
    </w:p>
    <w:p>
      <w:pPr>
        <w:spacing w:after="120" w:before="260"/>
      </w:pPr>
      <w:r>
        <w:rPr>
          <w:b/>
          <w:bCs/>
          <w:color w:val="1F3B57"/>
          <w:sz w:val="24"/>
          <w:szCs w:val="24"/>
        </w:rPr>
        <w:t xml:space="preserve">2. Uitgangspunten van dit rapport</w:t>
      </w:r>
    </w:p>
    <w:p>
      <w:pPr>
        <w:spacing w:after="60"/>
        <w:ind w:left="200"/>
      </w:pPr>
      <w:r>
        <w:rPr>
          <w:sz w:val="20"/>
          <w:szCs w:val="20"/>
        </w:rPr>
        <w:t xml:space="preserve">–  Dit rapport is gebaseerd op een fysieke opname ter plaatse door de adviseur van SMV Advies, aangevuld met de intakegegevens van de klant.</w:t>
      </w:r>
    </w:p>
    <w:p>
      <w:pPr>
        <w:spacing w:after="60"/>
        <w:ind w:left="200"/>
      </w:pPr>
      <w:r>
        <w:rPr>
          <w:sz w:val="20"/>
          <w:szCs w:val="20"/>
        </w:rPr>
        <w:t xml:space="preserve">–  Alle bevindingen in de bouwkundige en installatietechnische analyse zijn vastgesteld tijdens het locatiebezoek, tenzij anders vermeld.</w:t>
      </w:r>
    </w:p>
    <w:p>
      <w:pPr>
        <w:spacing w:after="120" w:before="260"/>
      </w:pPr>
      <w:r>
        <w:rPr>
          <w:b/>
          <w:bCs/>
          <w:color w:val="1F3B57"/>
          <w:sz w:val="24"/>
          <w:szCs w:val="24"/>
        </w:rPr>
        <w:t xml:space="preserve">3. Bouwkundige en installatietechnische analyse</w:t>
      </w:r>
    </w:p>
    <w:p>
      <w:pPr>
        <w:spacing w:after="200"/>
      </w:pPr>
      <w:r>
        <w:rPr>
          <w:i/>
          <w:iCs/>
          <w:color w:val="6B6B6B"/>
          <w:sz w:val="20"/>
          <w:szCs w:val="20"/>
        </w:rPr>
        <w:t xml:space="preserve">Richtwaarden (bouwfysisch, stabiel): gevel/spouwmuur ongeïsoleerd Rc 0,2-0,4 / na-isolatie Rc 1,3-1,5 / eis Rc ≥ 4,7 — dak ongeïsoleerd Rc 0,15-0,3 / na-isolatie Rc 2,5-6,0 / eis Rc ≥ 4,7 — vloer/bodem ongeïsoleerd Rc 0,15-0,2 / na-isolatie Rc 2,5-3,5 / eis Rc ≥ 3,7 — beglazing (U-waarde) enkel glas U≈5,1 / oud dubbel glas U≈2,8-3,0 / HR++ U≈1,1-1,2 / triple U≈0,6-0,8 / eis U ≤ 1,65. Subsidiedrempels (EIA/ISDE) wijzigen jaarlijks — altijd verifiëren tegen de actuele RVO-bron.</w:t>
      </w:r>
    </w:p>
    <w:tbl>
      <w:tblPr>
        <w:tblW w:type="dxa" w:w="1035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000"/>
        <w:gridCol w:w="1656"/>
        <w:gridCol w:w="2000"/>
      </w:tblGrid>
      <w:tr>
        <w:trPr>
          <w:tblHeader/>
        </w:trPr>
        <w:tc>
          <w:tcPr>
            <w:tcW w:type="dxa" w:w="22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Bouwdeel</w:t>
            </w:r>
          </w:p>
        </w:tc>
        <w:tc>
          <w:tcPr>
            <w:tcW w:type="dxa" w:w="25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Huidige Rc- / U-waarde (schatting)</w:t>
            </w:r>
          </w:p>
        </w:tc>
        <w:tc>
          <w:tcPr>
            <w:tcW w:type="dxa" w:w="20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Eis (bestaande bouw)</w:t>
            </w:r>
          </w:p>
        </w:tc>
        <w:tc>
          <w:tcPr>
            <w:tcW w:type="dxa" w:w="1656"/>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Beoordeling</w:t>
            </w:r>
          </w:p>
        </w:tc>
        <w:tc>
          <w:tcPr>
            <w:tcW w:type="dxa" w:w="20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Opmerkingen</w:t>
            </w:r>
          </w:p>
        </w:tc>
      </w:tr>
      <w:tr>
        <w:tc>
          <w:tcPr>
            <w:tcW w:type="dxa" w:w="22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Gevel (spouwmuur)</w:t>
            </w:r>
          </w:p>
        </w:tc>
        <w:tc>
          <w:tcPr>
            <w:tcW w:type="dxa" w:w="25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0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Rc ≥ 4,7</w:t>
            </w:r>
          </w:p>
        </w:tc>
        <w:tc>
          <w:tcPr>
            <w:tcW w:type="dxa" w:w="1656"/>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0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r>
      <w:tr>
        <w:tc>
          <w:tcPr>
            <w:tcW w:type="dxa" w:w="22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Dak</w:t>
            </w:r>
          </w:p>
        </w:tc>
        <w:tc>
          <w:tcPr>
            <w:tcW w:type="dxa" w:w="25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0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Rc ≥ 4,7</w:t>
            </w:r>
          </w:p>
        </w:tc>
        <w:tc>
          <w:tcPr>
            <w:tcW w:type="dxa" w:w="1656"/>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0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r>
      <w:tr>
        <w:tc>
          <w:tcPr>
            <w:tcW w:type="dxa" w:w="22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Vloer / bodem</w:t>
            </w:r>
          </w:p>
        </w:tc>
        <w:tc>
          <w:tcPr>
            <w:tcW w:type="dxa" w:w="25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0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Rc ≥ 3,7</w:t>
            </w:r>
          </w:p>
        </w:tc>
        <w:tc>
          <w:tcPr>
            <w:tcW w:type="dxa" w:w="1656"/>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0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r>
      <w:tr>
        <w:tc>
          <w:tcPr>
            <w:tcW w:type="dxa" w:w="22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Beglazing</w:t>
            </w:r>
          </w:p>
        </w:tc>
        <w:tc>
          <w:tcPr>
            <w:tcW w:type="dxa" w:w="25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0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U ≤ 1,65</w:t>
            </w:r>
          </w:p>
        </w:tc>
        <w:tc>
          <w:tcPr>
            <w:tcW w:type="dxa" w:w="1656"/>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0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r>
      <w:tr>
        <w:tc>
          <w:tcPr>
            <w:tcW w:type="dxa" w:w="22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Installaties (verwarming/ventilatie)</w:t>
            </w:r>
          </w:p>
        </w:tc>
        <w:tc>
          <w:tcPr>
            <w:tcW w:type="dxa" w:w="25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n.v.t.</w:t>
            </w:r>
          </w:p>
        </w:tc>
        <w:tc>
          <w:tcPr>
            <w:tcW w:type="dxa" w:w="20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n.v.t.</w:t>
            </w:r>
          </w:p>
        </w:tc>
        <w:tc>
          <w:tcPr>
            <w:tcW w:type="dxa" w:w="1656"/>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0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r>
    </w:tbl>
    <w:p>
      <w:pPr>
        <w:spacing w:after="120" w:before="260"/>
      </w:pPr>
      <w:r>
        <w:rPr>
          <w:b/>
          <w:bCs/>
          <w:color w:val="1F3B57"/>
          <w:sz w:val="24"/>
          <w:szCs w:val="24"/>
        </w:rPr>
        <w:t xml:space="preserve">4. Maatregelen: investering, besparing en terugverdientijd</w:t>
      </w:r>
    </w:p>
    <w:p>
      <w:pPr>
        <w:spacing w:after="120"/>
      </w:pPr>
      <w:r>
        <w:rPr>
          <w:i/>
          <w:iCs/>
          <w:color w:val="6B6B6B"/>
          <w:sz w:val="20"/>
          <w:szCs w:val="20"/>
        </w:rPr>
        <w:t xml:space="preserve">Gesorteerd op prioriteit — we beginnen met de maatregelen met de snelste terugverdientijd.</w:t>
      </w:r>
    </w:p>
    <w:tbl>
      <w:tblPr>
        <w:tblW w:type="dxa" w:w="10356"/>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2100"/>
        <w:gridCol w:w="2100"/>
        <w:gridCol w:w="1600"/>
        <w:gridCol w:w="1156"/>
      </w:tblGrid>
      <w:tr>
        <w:trPr>
          <w:tblHeader/>
        </w:trPr>
        <w:tc>
          <w:tcPr>
            <w:tcW w:type="dxa" w:w="5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w:t>
            </w:r>
          </w:p>
        </w:tc>
        <w:tc>
          <w:tcPr>
            <w:tcW w:type="dxa" w:w="29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Maatregel</w:t>
            </w:r>
          </w:p>
        </w:tc>
        <w:tc>
          <w:tcPr>
            <w:tcW w:type="dxa" w:w="21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Investering (indicatie, excl. btw)</w:t>
            </w:r>
          </w:p>
        </w:tc>
        <w:tc>
          <w:tcPr>
            <w:tcW w:type="dxa" w:w="21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Besparing per jaar (indicatie)</w:t>
            </w:r>
          </w:p>
        </w:tc>
        <w:tc>
          <w:tcPr>
            <w:tcW w:type="dxa" w:w="16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Terugverdientijd</w:t>
            </w:r>
          </w:p>
        </w:tc>
        <w:tc>
          <w:tcPr>
            <w:tcW w:type="dxa" w:w="1156"/>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Prioriteit (1-3)</w:t>
            </w:r>
          </w:p>
        </w:tc>
      </w:tr>
      <w:tr>
        <w:tc>
          <w:tcPr>
            <w:tcW w:type="dxa" w:w="5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1</w:t>
            </w:r>
          </w:p>
        </w:tc>
        <w:tc>
          <w:tcPr>
            <w:tcW w:type="dxa" w:w="29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156"/>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 ]</w:t>
            </w:r>
          </w:p>
        </w:tc>
      </w:tr>
      <w:tr>
        <w:tc>
          <w:tcPr>
            <w:tcW w:type="dxa" w:w="5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2</w:t>
            </w:r>
          </w:p>
        </w:tc>
        <w:tc>
          <w:tcPr>
            <w:tcW w:type="dxa" w:w="29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1156"/>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 ]</w:t>
            </w:r>
          </w:p>
        </w:tc>
      </w:tr>
      <w:tr>
        <w:tc>
          <w:tcPr>
            <w:tcW w:type="dxa" w:w="5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3</w:t>
            </w:r>
          </w:p>
        </w:tc>
        <w:tc>
          <w:tcPr>
            <w:tcW w:type="dxa" w:w="29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156"/>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 ]</w:t>
            </w:r>
          </w:p>
        </w:tc>
      </w:tr>
      <w:tr>
        <w:tc>
          <w:tcPr>
            <w:tcW w:type="dxa" w:w="5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4</w:t>
            </w:r>
          </w:p>
        </w:tc>
        <w:tc>
          <w:tcPr>
            <w:tcW w:type="dxa" w:w="29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1156"/>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 ]</w:t>
            </w:r>
          </w:p>
        </w:tc>
      </w:tr>
      <w:tr>
        <w:tc>
          <w:tcPr>
            <w:tcW w:type="dxa" w:w="5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5</w:t>
            </w:r>
          </w:p>
        </w:tc>
        <w:tc>
          <w:tcPr>
            <w:tcW w:type="dxa" w:w="29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156"/>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 ]</w:t>
            </w:r>
          </w:p>
        </w:tc>
      </w:tr>
      <w:tr>
        <w:tc>
          <w:tcPr>
            <w:tcW w:type="dxa" w:w="5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6</w:t>
            </w:r>
          </w:p>
        </w:tc>
        <w:tc>
          <w:tcPr>
            <w:tcW w:type="dxa" w:w="29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1156"/>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 ]</w:t>
            </w:r>
          </w:p>
        </w:tc>
      </w:tr>
      <w:tr>
        <w:tc>
          <w:tcPr>
            <w:tcW w:type="dxa" w:w="5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7</w:t>
            </w:r>
          </w:p>
        </w:tc>
        <w:tc>
          <w:tcPr>
            <w:tcW w:type="dxa" w:w="29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156"/>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 ]</w:t>
            </w:r>
          </w:p>
        </w:tc>
      </w:tr>
      <w:tr>
        <w:tc>
          <w:tcPr>
            <w:tcW w:type="dxa" w:w="5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8</w:t>
            </w:r>
          </w:p>
        </w:tc>
        <w:tc>
          <w:tcPr>
            <w:tcW w:type="dxa" w:w="29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1156"/>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 ]</w:t>
            </w:r>
          </w:p>
        </w:tc>
      </w:tr>
    </w:tbl>
    <w:p>
      <w:pPr>
        <w:spacing w:after="120" w:before="260"/>
      </w:pPr>
      <w:r>
        <w:rPr>
          <w:b/>
          <w:bCs/>
          <w:color w:val="1F3B57"/>
          <w:sz w:val="24"/>
          <w:szCs w:val="24"/>
        </w:rPr>
        <w:t xml:space="preserve">5. Subsidiemogelijkheden</w:t>
      </w:r>
    </w:p>
    <w:p>
      <w:pPr>
        <w:spacing w:after="120"/>
      </w:pPr>
      <w:r>
        <w:rPr>
          <w:color w:val="222222"/>
          <w:sz w:val="20"/>
          <w:szCs w:val="20"/>
        </w:rPr>
        <w:t xml:space="preserve">Concrete EIA/ISDE-categorieën per maatregel, gebaseerd op de op het moment van opname geldende EIA Energielijst. Altijd te verifiëren bij RVO voorafgaand aan een aanvraag.</w:t>
      </w:r>
    </w:p>
    <w:p>
      <w:pPr>
        <w:spacing w:after="120"/>
      </w:pPr>
      <w:r>
        <w:rPr>
          <w:i/>
          <w:iCs/>
          <w:color w:val="6B6B6B"/>
          <w:sz w:val="20"/>
          <w:szCs w:val="20"/>
        </w:rPr>
        <w:t xml:space="preserve">Indicatie per maatregel (categorie en RVO-code invullen op basis van de actuele EIA Energielijst): [in te vullen].</w:t>
      </w:r>
    </w:p>
    <w:p>
      <w:pPr>
        <w:spacing w:after="120" w:before="260"/>
      </w:pPr>
      <w:r>
        <w:rPr>
          <w:b/>
          <w:bCs/>
          <w:color w:val="1F3B57"/>
          <w:sz w:val="24"/>
          <w:szCs w:val="24"/>
        </w:rPr>
        <w:t xml:space="preserve">6. Roadmap: korte, middellange en lange termijn</w:t>
      </w:r>
    </w:p>
    <w:p>
      <w:pPr>
        <w:spacing w:after="60"/>
        <w:ind w:left="200"/>
      </w:pPr>
      <w:r>
        <w:rPr>
          <w:sz w:val="20"/>
          <w:szCs w:val="20"/>
        </w:rPr>
        <w:t xml:space="preserve">–  Korte termijn (0-1 jaar): [in te vullen]</w:t>
      </w:r>
    </w:p>
    <w:p>
      <w:pPr>
        <w:spacing w:after="60"/>
        <w:ind w:left="200"/>
      </w:pPr>
      <w:r>
        <w:rPr>
          <w:sz w:val="20"/>
          <w:szCs w:val="20"/>
        </w:rPr>
        <w:t xml:space="preserve">–  Middellange termijn (1-5 jaar): [in te vullen]</w:t>
      </w:r>
    </w:p>
    <w:p>
      <w:pPr>
        <w:spacing w:after="60"/>
        <w:ind w:left="200"/>
      </w:pPr>
      <w:r>
        <w:rPr>
          <w:sz w:val="20"/>
          <w:szCs w:val="20"/>
        </w:rPr>
        <w:t xml:space="preserve">–  Lange termijn (5+ jaar, gekoppeld aan natuurlijke vervangmomenten): [in te vullen]</w:t>
      </w:r>
    </w:p>
    <w:p>
      <w:pPr>
        <w:spacing w:after="120" w:before="260"/>
      </w:pPr>
      <w:r>
        <w:rPr>
          <w:b/>
          <w:bCs/>
          <w:color w:val="1F3B57"/>
          <w:sz w:val="24"/>
          <w:szCs w:val="24"/>
        </w:rPr>
        <w:t xml:space="preserve">7. Vervolgstap</w:t>
      </w:r>
    </w:p>
    <w:p>
      <w:pPr>
        <w:spacing w:after="120"/>
      </w:pPr>
      <w:r>
        <w:rPr>
          <w:color w:val="222222"/>
          <w:sz w:val="20"/>
          <w:szCs w:val="20"/>
        </w:rPr>
        <w:t xml:space="preserve">Wilt u volledig ontzorgd worden bij offertes, subsidieaanvragen en uitvoering? Dan is het Gold Pakket de logische vervolgstap.</w:t>
      </w:r>
    </w:p>
    <w:p>
      <w:pPr>
        <w:pBdr>
          <w:top w:val="single" w:color="B9C4CC" w:sz="4" w:space="8"/>
        </w:pBdr>
        <w:spacing w:before="260"/>
      </w:pPr>
      <w:r>
        <w:rPr>
          <w:i/>
          <w:iCs/>
          <w:color w:val="6B6B6B"/>
          <w:sz w:val="16"/>
          <w:szCs w:val="16"/>
        </w:rPr>
        <w:t xml:space="preserve">Dit rapport is gebaseerd op een fysieke opname; genoemde Rc-/U-waarden zijn schattingen tenzij destructief onderzoek heeft plaatsgevonden. Dit rapport is een hulpmiddel bij het adviestraject van SMV Advies en vervangt geen formele bouwkundige keuring. Genoemde investeringen, besparingen, terugverdientijden en subsidiemogelijkheden zijn indicaties op basis van de op het moment van opname beschikbare informatie; SMV Advies neemt nooit commissie of vergoeding van installateurs of aannemers voor genoemde maatregelen. Ons advies is uitsluitend gebaseerd op het belang van de klant.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d666f019a1726624d600be35c979ca99d8138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2026-09-30T09:42:14.870Z</dcterms:created>
  <dcterms:modified xsi:type="dcterms:W3CDTF">2026-09-30T09:42:14.870Z</dcterms:modified>
</cp:coreProperties>
</file>

<file path=docProps/custom.xml><?xml version="1.0" encoding="utf-8"?>
<Properties xmlns="http://schemas.openxmlformats.org/officeDocument/2006/custom-properties" xmlns:vt="http://schemas.openxmlformats.org/officeDocument/2006/docPropsVTypes"/>
</file>