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12382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695325"/>
                    </a:xfrm>
                    <a:prstGeom prst="rect">
                      <a:avLst/>
                    </a:prstGeom>
                  </pic:spPr>
                </pic:pic>
              </a:graphicData>
            </a:graphic>
          </wp:inline>
        </w:drawing>
      </w:r>
    </w:p>
    <w:p>
      <w:pPr>
        <w:pStyle w:val="Title"/>
        <w:spacing w:after="60"/>
      </w:pPr>
      <w:r>
        <w:rPr>
          <w:b/>
          <w:bCs/>
          <w:color w:val="1F3B57"/>
          <w:sz w:val="34"/>
          <w:szCs w:val="34"/>
        </w:rPr>
        <w:t xml:space="preserve">Adviesrapport — Basis Pakket — QuickScan</w:t>
      </w:r>
    </w:p>
    <w:p>
      <w:pPr>
        <w:spacing w:after="200"/>
      </w:pPr>
      <w:r>
        <w:rPr>
          <w:i/>
          <w:iCs/>
          <w:color w:val="6B6B6B"/>
          <w:sz w:val="20"/>
          <w:szCs w:val="20"/>
        </w:rPr>
        <w:t xml:space="preserve">Snelle, op afstand uitgevoerde beoordeling van het verduurzamingspotentieel van uw bedrijfspand.</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Klantnaam</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Pandadres</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r>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Datum rapport</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Adviseur</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r>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Pakket</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Basis Pakket — QuickScan</w:t>
            </w:r>
          </w:p>
        </w:tc>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Rapportnummer</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bl>
    <w:p>
      <w:pPr>
        <w:spacing w:after="120" w:before="260"/>
      </w:pPr>
      <w:r>
        <w:rPr>
          <w:b/>
          <w:bCs/>
          <w:color w:val="1F3B57"/>
          <w:sz w:val="24"/>
          <w:szCs w:val="24"/>
        </w:rPr>
        <w:t xml:space="preserve">1. Samenvatting</w:t>
      </w:r>
    </w:p>
    <w:p>
      <w:pPr>
        <w:spacing w:after="120"/>
      </w:pPr>
      <w:r>
        <w:rPr>
          <w:color w:val="222222"/>
          <w:sz w:val="20"/>
          <w:szCs w:val="20"/>
        </w:rPr>
        <w:t xml:space="preserve">[in te vullen — korte, heldere conclusie in maximaal 4-5 zinnen: belangrijkste kansen, verwachte besparing en aanbevolen vervolgstap.]</w:t>
      </w:r>
    </w:p>
    <w:p>
      <w:pPr>
        <w:spacing w:after="120" w:before="260"/>
      </w:pPr>
      <w:r>
        <w:rPr>
          <w:b/>
          <w:bCs/>
          <w:color w:val="1F3B57"/>
          <w:sz w:val="24"/>
          <w:szCs w:val="24"/>
        </w:rPr>
        <w:t xml:space="preserve">2. Uitgangspunten van dit rapport</w:t>
      </w:r>
    </w:p>
    <w:p>
      <w:pPr>
        <w:spacing w:after="60"/>
        <w:ind w:left="200"/>
      </w:pPr>
      <w:r>
        <w:rPr>
          <w:sz w:val="20"/>
          <w:szCs w:val="20"/>
        </w:rPr>
        <w:t xml:space="preserve">–  Deze QuickScan is uitgevoerd op afstand, op basis van door de klant aangeleverde gegevens en foto's — geen fysieke opname ter plaatse.</w:t>
      </w:r>
    </w:p>
    <w:p>
      <w:pPr>
        <w:spacing w:after="60"/>
        <w:ind w:left="200"/>
      </w:pPr>
      <w:r>
        <w:rPr>
          <w:sz w:val="20"/>
          <w:szCs w:val="20"/>
        </w:rPr>
        <w:t xml:space="preserve">–  De genoemde bedragen en besparingen zijn indicaties met een bandbreedte; voor een onderbouwd plan met locatiebezoek verwijzen we naar het Premium Pakket.</w:t>
      </w:r>
    </w:p>
    <w:p>
      <w:pPr>
        <w:spacing w:after="120" w:before="260"/>
      </w:pPr>
      <w:r>
        <w:rPr>
          <w:b/>
          <w:bCs/>
          <w:color w:val="1F3B57"/>
          <w:sz w:val="24"/>
          <w:szCs w:val="24"/>
        </w:rPr>
        <w:t xml:space="preserve">3. Maatregelen: investering, besparing en terugverdientijd</w:t>
      </w:r>
    </w:p>
    <w:p>
      <w:pPr>
        <w:spacing w:after="120"/>
      </w:pPr>
      <w:r>
        <w:rPr>
          <w:i/>
          <w:iCs/>
          <w:color w:val="6B6B6B"/>
          <w:sz w:val="20"/>
          <w:szCs w:val="20"/>
        </w:rPr>
        <w:t xml:space="preserve">Gesorteerd op prioriteit — we beginnen met de maatregelen met de snelste terugverdientijd.</w:t>
      </w:r>
    </w:p>
    <w:tbl>
      <w:tblPr>
        <w:tblW w:type="dxa" w:w="1035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100"/>
        <w:gridCol w:w="2100"/>
        <w:gridCol w:w="1600"/>
        <w:gridCol w:w="1156"/>
      </w:tblGrid>
      <w:tr>
        <w:trPr>
          <w:tblHeader/>
        </w:trPr>
        <w:tc>
          <w:tcPr>
            <w:tcW w:type="dxa" w:w="5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w:t>
            </w:r>
          </w:p>
        </w:tc>
        <w:tc>
          <w:tcPr>
            <w:tcW w:type="dxa" w:w="29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Maatregel</w:t>
            </w:r>
          </w:p>
        </w:tc>
        <w:tc>
          <w:tcPr>
            <w:tcW w:type="dxa" w:w="21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Investering (indicatie, excl. btw)</w:t>
            </w:r>
          </w:p>
        </w:tc>
        <w:tc>
          <w:tcPr>
            <w:tcW w:type="dxa" w:w="21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Besparing per jaar (indicatie)</w:t>
            </w:r>
          </w:p>
        </w:tc>
        <w:tc>
          <w:tcPr>
            <w:tcW w:type="dxa" w:w="16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Terugverdientijd</w:t>
            </w:r>
          </w:p>
        </w:tc>
        <w:tc>
          <w:tcPr>
            <w:tcW w:type="dxa" w:w="1156"/>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Prioriteit (1-3)</w:t>
            </w:r>
          </w:p>
        </w:tc>
      </w:tr>
      <w:tr>
        <w:tc>
          <w:tcPr>
            <w:tcW w:type="dxa" w:w="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1</w:t>
            </w:r>
          </w:p>
        </w:tc>
        <w:tc>
          <w:tcPr>
            <w:tcW w:type="dxa" w:w="29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2</w:t>
            </w:r>
          </w:p>
        </w:tc>
        <w:tc>
          <w:tcPr>
            <w:tcW w:type="dxa" w:w="29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3</w:t>
            </w:r>
          </w:p>
        </w:tc>
        <w:tc>
          <w:tcPr>
            <w:tcW w:type="dxa" w:w="29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4</w:t>
            </w:r>
          </w:p>
        </w:tc>
        <w:tc>
          <w:tcPr>
            <w:tcW w:type="dxa" w:w="29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5</w:t>
            </w:r>
          </w:p>
        </w:tc>
        <w:tc>
          <w:tcPr>
            <w:tcW w:type="dxa" w:w="29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 ]</w:t>
            </w:r>
          </w:p>
        </w:tc>
      </w:tr>
    </w:tbl>
    <w:p>
      <w:pPr>
        <w:spacing w:after="120" w:before="260"/>
      </w:pPr>
      <w:r>
        <w:rPr>
          <w:b/>
          <w:bCs/>
          <w:color w:val="1F3B57"/>
          <w:sz w:val="24"/>
          <w:szCs w:val="24"/>
        </w:rPr>
        <w:t xml:space="preserve">4. Subsidiemogelijkheden</w:t>
      </w:r>
    </w:p>
    <w:p>
      <w:pPr>
        <w:spacing w:after="120"/>
      </w:pPr>
      <w:r>
        <w:rPr>
          <w:color w:val="222222"/>
          <w:sz w:val="20"/>
          <w:szCs w:val="20"/>
        </w:rPr>
        <w:t xml:space="preserve">Indicatie van EIA/ISDE-subsidiemogelijkheden voor de genoemde maatregelen. Dit is een eerste inschatting; de exacte voorwaarden en bedragen worden pas definitief bij een concreet adviestraject.</w:t>
      </w:r>
    </w:p>
    <w:p>
      <w:pPr>
        <w:spacing w:after="120" w:before="260"/>
      </w:pPr>
      <w:r>
        <w:rPr>
          <w:b/>
          <w:bCs/>
          <w:color w:val="1F3B57"/>
          <w:sz w:val="24"/>
          <w:szCs w:val="24"/>
        </w:rPr>
        <w:t xml:space="preserve">5. Vervolgstap</w:t>
      </w:r>
    </w:p>
    <w:p>
      <w:pPr>
        <w:spacing w:after="120"/>
      </w:pPr>
      <w:r>
        <w:rPr>
          <w:color w:val="222222"/>
          <w:sz w:val="20"/>
          <w:szCs w:val="20"/>
        </w:rPr>
        <w:t xml:space="preserve">Wilt u een volledig onderbouwd plan op basis van een fysieke opname? Dan is het Premium Pakket de logische vervolgstap.</w:t>
      </w:r>
    </w:p>
    <w:p>
      <w:pPr>
        <w:pBdr>
          <w:top w:val="single" w:color="B9C4CC" w:sz="4" w:space="8"/>
        </w:pBdr>
        <w:spacing w:before="260"/>
      </w:pPr>
      <w:r>
        <w:rPr>
          <w:i/>
          <w:iCs/>
          <w:color w:val="6B6B6B"/>
          <w:sz w:val="16"/>
          <w:szCs w:val="16"/>
        </w:rPr>
        <w:t xml:space="preserve">Deze QuickScan is gebaseerd op aangeleverde informatie, niet op eigen waarneming ter plaatse. Dit rapport is een hulpmiddel bij het adviestraject van SMV Advies en vervangt geen formele bouwkundige keuring. Genoemde investeringen, besparingen, terugverdientijden en subsidiemogelijkheden zijn indicaties op basis van de op het moment van opname beschikbare informatie; SMV Advies neemt nooit commissie of vergoeding van installateurs of aannemers voor genoemde maatregelen. Ons advies is uitsluitend gebaseerd op het belang van de klant.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d666f019a1726624d600be35c979ca99d813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2026-09-30T09:42:14.246Z</dcterms:created>
  <dcterms:modified xsi:type="dcterms:W3CDTF">2026-09-30T09:42:14.254Z</dcterms:modified>
</cp:coreProperties>
</file>

<file path=docProps/custom.xml><?xml version="1.0" encoding="utf-8"?>
<Properties xmlns="http://schemas.openxmlformats.org/officeDocument/2006/custom-properties" xmlns:vt="http://schemas.openxmlformats.org/officeDocument/2006/docPropsVTypes"/>
</file>