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drawing>
          <wp:inline distT="0" distB="0" distL="0" distR="0">
            <wp:extent cx="1238250" cy="69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695325"/>
                    </a:xfrm>
                    <a:prstGeom prst="rect">
                      <a:avLst/>
                    </a:prstGeom>
                  </pic:spPr>
                </pic:pic>
              </a:graphicData>
            </a:graphic>
          </wp:inline>
        </w:drawing>
      </w:r>
    </w:p>
    <w:p>
      <w:pPr>
        <w:pStyle w:val="Title"/>
        <w:spacing w:after="60"/>
      </w:pPr>
      <w:r>
        <w:rPr>
          <w:b/>
          <w:bCs/>
          <w:color w:val="1F3B57"/>
          <w:sz w:val="34"/>
          <w:szCs w:val="34"/>
        </w:rPr>
        <w:t xml:space="preserve">Adviesrapport — Gold Pakket — Volledige ontzorging</w:t>
      </w:r>
    </w:p>
    <w:p>
      <w:pPr>
        <w:spacing w:after="200"/>
      </w:pPr>
      <w:r>
        <w:rPr>
          <w:i/>
          <w:iCs/>
          <w:color w:val="6B6B6B"/>
          <w:sz w:val="20"/>
          <w:szCs w:val="20"/>
        </w:rPr>
        <w:t xml:space="preserve">Volledig ontzorgd: van analyse tot en met de oplevering van de laatste maatregel.</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339"/>
        <w:gridCol w:w="2339"/>
        <w:gridCol w:w="2339"/>
        <w:gridCol w:w="2339"/>
      </w:tblGrid>
      <w:tr>
        <w:tc>
          <w:tcPr>
            <w:tcW w:type="dxa" w:w="2339"/>
            <w:tcBorders>
              <w:top w:val="single" w:color="B9C4CC" w:sz="2"/>
              <w:left w:val="single" w:color="B9C4CC" w:sz="2"/>
              <w:bottom w:val="single" w:color="B9C4CC" w:sz="2"/>
              <w:right w:val="single" w:color="B9C4CC" w:sz="2"/>
            </w:tcBorders>
            <w:shd w:fill="EAF0F4" w:color="auto" w:val="clear"/>
            <w:tcMar>
              <w:top w:type="dxa" w:w="80"/>
              <w:left w:type="dxa" w:w="100"/>
              <w:bottom w:type="dxa" w:w="80"/>
              <w:right w:type="dxa" w:w="100"/>
            </w:tcMar>
          </w:tcPr>
          <w:p>
            <w:r>
              <w:rPr>
                <w:b/>
                <w:bCs/>
                <w:sz w:val="18"/>
                <w:szCs w:val="18"/>
              </w:rPr>
              <w:t xml:space="preserve">Klantnaam</w:t>
            </w:r>
          </w:p>
        </w:tc>
        <w:tc>
          <w:tcPr>
            <w:tcW w:type="dxa" w:w="2339"/>
            <w:tcBorders>
              <w:top w:val="single" w:color="B9C4CC" w:sz="2"/>
              <w:left w:val="single" w:color="B9C4CC" w:sz="2"/>
              <w:bottom w:val="single" w:color="B9C4CC" w:sz="2"/>
              <w:right w:val="single" w:color="B9C4CC" w:sz="2"/>
            </w:tcBorders>
            <w:tcMar>
              <w:top w:type="dxa" w:w="80"/>
              <w:left w:type="dxa" w:w="100"/>
              <w:bottom w:type="dxa" w:w="80"/>
              <w:right w:type="dxa" w:w="100"/>
            </w:tcMar>
          </w:tcPr>
          <w:p>
            <w:r>
              <w:rPr>
                <w:sz w:val="18"/>
                <w:szCs w:val="18"/>
              </w:rPr>
              <w:t xml:space="preserve"/>
            </w:r>
          </w:p>
        </w:tc>
        <w:tc>
          <w:tcPr>
            <w:tcW w:type="dxa" w:w="2339"/>
            <w:tcBorders>
              <w:top w:val="single" w:color="B9C4CC" w:sz="2"/>
              <w:left w:val="single" w:color="B9C4CC" w:sz="2"/>
              <w:bottom w:val="single" w:color="B9C4CC" w:sz="2"/>
              <w:right w:val="single" w:color="B9C4CC" w:sz="2"/>
            </w:tcBorders>
            <w:shd w:fill="EAF0F4" w:color="auto" w:val="clear"/>
            <w:tcMar>
              <w:top w:type="dxa" w:w="80"/>
              <w:left w:type="dxa" w:w="100"/>
              <w:bottom w:type="dxa" w:w="80"/>
              <w:right w:type="dxa" w:w="100"/>
            </w:tcMar>
          </w:tcPr>
          <w:p>
            <w:r>
              <w:rPr>
                <w:b/>
                <w:bCs/>
                <w:sz w:val="18"/>
                <w:szCs w:val="18"/>
              </w:rPr>
              <w:t xml:space="preserve">Pandadres</w:t>
            </w:r>
          </w:p>
        </w:tc>
        <w:tc>
          <w:tcPr>
            <w:tcW w:type="dxa" w:w="2339"/>
            <w:tcBorders>
              <w:top w:val="single" w:color="B9C4CC" w:sz="2"/>
              <w:left w:val="single" w:color="B9C4CC" w:sz="2"/>
              <w:bottom w:val="single" w:color="B9C4CC" w:sz="2"/>
              <w:right w:val="single" w:color="B9C4CC" w:sz="2"/>
            </w:tcBorders>
            <w:tcMar>
              <w:top w:type="dxa" w:w="80"/>
              <w:left w:type="dxa" w:w="100"/>
              <w:bottom w:type="dxa" w:w="80"/>
              <w:right w:type="dxa" w:w="100"/>
            </w:tcMar>
          </w:tcPr>
          <w:p>
            <w:r>
              <w:rPr>
                <w:sz w:val="18"/>
                <w:szCs w:val="18"/>
              </w:rPr>
              <w:t xml:space="preserve"/>
            </w:r>
          </w:p>
        </w:tc>
      </w:tr>
      <w:tr>
        <w:tc>
          <w:tcPr>
            <w:tcW w:type="dxa" w:w="2339"/>
            <w:tcBorders>
              <w:top w:val="single" w:color="B9C4CC" w:sz="2"/>
              <w:left w:val="single" w:color="B9C4CC" w:sz="2"/>
              <w:bottom w:val="single" w:color="B9C4CC" w:sz="2"/>
              <w:right w:val="single" w:color="B9C4CC" w:sz="2"/>
            </w:tcBorders>
            <w:shd w:fill="EAF0F4" w:color="auto" w:val="clear"/>
            <w:tcMar>
              <w:top w:type="dxa" w:w="80"/>
              <w:left w:type="dxa" w:w="100"/>
              <w:bottom w:type="dxa" w:w="80"/>
              <w:right w:type="dxa" w:w="100"/>
            </w:tcMar>
          </w:tcPr>
          <w:p>
            <w:r>
              <w:rPr>
                <w:b/>
                <w:bCs/>
                <w:sz w:val="18"/>
                <w:szCs w:val="18"/>
              </w:rPr>
              <w:t xml:space="preserve">Datum rapport</w:t>
            </w:r>
          </w:p>
        </w:tc>
        <w:tc>
          <w:tcPr>
            <w:tcW w:type="dxa" w:w="2339"/>
            <w:tcBorders>
              <w:top w:val="single" w:color="B9C4CC" w:sz="2"/>
              <w:left w:val="single" w:color="B9C4CC" w:sz="2"/>
              <w:bottom w:val="single" w:color="B9C4CC" w:sz="2"/>
              <w:right w:val="single" w:color="B9C4CC" w:sz="2"/>
            </w:tcBorders>
            <w:tcMar>
              <w:top w:type="dxa" w:w="80"/>
              <w:left w:type="dxa" w:w="100"/>
              <w:bottom w:type="dxa" w:w="80"/>
              <w:right w:type="dxa" w:w="100"/>
            </w:tcMar>
          </w:tcPr>
          <w:p>
            <w:r>
              <w:rPr>
                <w:sz w:val="18"/>
                <w:szCs w:val="18"/>
              </w:rPr>
              <w:t xml:space="preserve"/>
            </w:r>
          </w:p>
        </w:tc>
        <w:tc>
          <w:tcPr>
            <w:tcW w:type="dxa" w:w="2339"/>
            <w:tcBorders>
              <w:top w:val="single" w:color="B9C4CC" w:sz="2"/>
              <w:left w:val="single" w:color="B9C4CC" w:sz="2"/>
              <w:bottom w:val="single" w:color="B9C4CC" w:sz="2"/>
              <w:right w:val="single" w:color="B9C4CC" w:sz="2"/>
            </w:tcBorders>
            <w:shd w:fill="EAF0F4" w:color="auto" w:val="clear"/>
            <w:tcMar>
              <w:top w:type="dxa" w:w="80"/>
              <w:left w:type="dxa" w:w="100"/>
              <w:bottom w:type="dxa" w:w="80"/>
              <w:right w:type="dxa" w:w="100"/>
            </w:tcMar>
          </w:tcPr>
          <w:p>
            <w:r>
              <w:rPr>
                <w:b/>
                <w:bCs/>
                <w:sz w:val="18"/>
                <w:szCs w:val="18"/>
              </w:rPr>
              <w:t xml:space="preserve">Adviseur</w:t>
            </w:r>
          </w:p>
        </w:tc>
        <w:tc>
          <w:tcPr>
            <w:tcW w:type="dxa" w:w="2339"/>
            <w:tcBorders>
              <w:top w:val="single" w:color="B9C4CC" w:sz="2"/>
              <w:left w:val="single" w:color="B9C4CC" w:sz="2"/>
              <w:bottom w:val="single" w:color="B9C4CC" w:sz="2"/>
              <w:right w:val="single" w:color="B9C4CC" w:sz="2"/>
            </w:tcBorders>
            <w:tcMar>
              <w:top w:type="dxa" w:w="80"/>
              <w:left w:type="dxa" w:w="100"/>
              <w:bottom w:type="dxa" w:w="80"/>
              <w:right w:type="dxa" w:w="100"/>
            </w:tcMar>
          </w:tcPr>
          <w:p>
            <w:r>
              <w:rPr>
                <w:sz w:val="18"/>
                <w:szCs w:val="18"/>
              </w:rPr>
              <w:t xml:space="preserve"/>
            </w:r>
          </w:p>
        </w:tc>
      </w:tr>
      <w:tr>
        <w:tc>
          <w:tcPr>
            <w:tcW w:type="dxa" w:w="2339"/>
            <w:tcBorders>
              <w:top w:val="single" w:color="B9C4CC" w:sz="2"/>
              <w:left w:val="single" w:color="B9C4CC" w:sz="2"/>
              <w:bottom w:val="single" w:color="B9C4CC" w:sz="2"/>
              <w:right w:val="single" w:color="B9C4CC" w:sz="2"/>
            </w:tcBorders>
            <w:shd w:fill="EAF0F4" w:color="auto" w:val="clear"/>
            <w:tcMar>
              <w:top w:type="dxa" w:w="80"/>
              <w:left w:type="dxa" w:w="100"/>
              <w:bottom w:type="dxa" w:w="80"/>
              <w:right w:type="dxa" w:w="100"/>
            </w:tcMar>
          </w:tcPr>
          <w:p>
            <w:r>
              <w:rPr>
                <w:b/>
                <w:bCs/>
                <w:sz w:val="18"/>
                <w:szCs w:val="18"/>
              </w:rPr>
              <w:t xml:space="preserve">Pakket</w:t>
            </w:r>
          </w:p>
        </w:tc>
        <w:tc>
          <w:tcPr>
            <w:tcW w:type="dxa" w:w="2339"/>
            <w:tcBorders>
              <w:top w:val="single" w:color="B9C4CC" w:sz="2"/>
              <w:left w:val="single" w:color="B9C4CC" w:sz="2"/>
              <w:bottom w:val="single" w:color="B9C4CC" w:sz="2"/>
              <w:right w:val="single" w:color="B9C4CC" w:sz="2"/>
            </w:tcBorders>
            <w:tcMar>
              <w:top w:type="dxa" w:w="80"/>
              <w:left w:type="dxa" w:w="100"/>
              <w:bottom w:type="dxa" w:w="80"/>
              <w:right w:type="dxa" w:w="100"/>
            </w:tcMar>
          </w:tcPr>
          <w:p>
            <w:r>
              <w:rPr>
                <w:sz w:val="18"/>
                <w:szCs w:val="18"/>
              </w:rPr>
              <w:t xml:space="preserve">Gold Pakket — Volledige ontzorging</w:t>
            </w:r>
          </w:p>
        </w:tc>
        <w:tc>
          <w:tcPr>
            <w:tcW w:type="dxa" w:w="2339"/>
            <w:tcBorders>
              <w:top w:val="single" w:color="B9C4CC" w:sz="2"/>
              <w:left w:val="single" w:color="B9C4CC" w:sz="2"/>
              <w:bottom w:val="single" w:color="B9C4CC" w:sz="2"/>
              <w:right w:val="single" w:color="B9C4CC" w:sz="2"/>
            </w:tcBorders>
            <w:shd w:fill="EAF0F4" w:color="auto" w:val="clear"/>
            <w:tcMar>
              <w:top w:type="dxa" w:w="80"/>
              <w:left w:type="dxa" w:w="100"/>
              <w:bottom w:type="dxa" w:w="80"/>
              <w:right w:type="dxa" w:w="100"/>
            </w:tcMar>
          </w:tcPr>
          <w:p>
            <w:r>
              <w:rPr>
                <w:b/>
                <w:bCs/>
                <w:sz w:val="18"/>
                <w:szCs w:val="18"/>
              </w:rPr>
              <w:t xml:space="preserve">Rapportnummer</w:t>
            </w:r>
          </w:p>
        </w:tc>
        <w:tc>
          <w:tcPr>
            <w:tcW w:type="dxa" w:w="2339"/>
            <w:tcBorders>
              <w:top w:val="single" w:color="B9C4CC" w:sz="2"/>
              <w:left w:val="single" w:color="B9C4CC" w:sz="2"/>
              <w:bottom w:val="single" w:color="B9C4CC" w:sz="2"/>
              <w:right w:val="single" w:color="B9C4CC" w:sz="2"/>
            </w:tcBorders>
            <w:tcMar>
              <w:top w:type="dxa" w:w="80"/>
              <w:left w:type="dxa" w:w="100"/>
              <w:bottom w:type="dxa" w:w="80"/>
              <w:right w:type="dxa" w:w="100"/>
            </w:tcMar>
          </w:tcPr>
          <w:p>
            <w:r>
              <w:rPr>
                <w:sz w:val="18"/>
                <w:szCs w:val="18"/>
              </w:rPr>
              <w:t xml:space="preserve"/>
            </w:r>
          </w:p>
        </w:tc>
      </w:tr>
    </w:tbl>
    <w:p>
      <w:pPr>
        <w:spacing w:after="120" w:before="260"/>
      </w:pPr>
      <w:r>
        <w:rPr>
          <w:b/>
          <w:bCs/>
          <w:color w:val="1F3B57"/>
          <w:sz w:val="24"/>
          <w:szCs w:val="24"/>
        </w:rPr>
        <w:t xml:space="preserve">1. Samenvatting</w:t>
      </w:r>
    </w:p>
    <w:p>
      <w:pPr>
        <w:spacing w:after="120"/>
      </w:pPr>
      <w:r>
        <w:rPr>
          <w:color w:val="222222"/>
          <w:sz w:val="20"/>
          <w:szCs w:val="20"/>
        </w:rPr>
        <w:t xml:space="preserve">[in te vullen — korte, heldere conclusie in maximaal 4-5 zinnen: belangrijkste kansen, verwachte besparing en aanbevolen vervolgstap.]</w:t>
      </w:r>
    </w:p>
    <w:p>
      <w:pPr>
        <w:spacing w:after="120" w:before="260"/>
      </w:pPr>
      <w:r>
        <w:rPr>
          <w:b/>
          <w:bCs/>
          <w:color w:val="1F3B57"/>
          <w:sz w:val="24"/>
          <w:szCs w:val="24"/>
        </w:rPr>
        <w:t xml:space="preserve">2. Uitgangspunten van dit rapport</w:t>
      </w:r>
    </w:p>
    <w:p>
      <w:pPr>
        <w:spacing w:after="60"/>
        <w:ind w:left="200"/>
      </w:pPr>
      <w:r>
        <w:rPr>
          <w:sz w:val="20"/>
          <w:szCs w:val="20"/>
        </w:rPr>
        <w:t xml:space="preserve">–  Dit rapport bouwt voort op een fysieke opname ter plaatse (zie Premium-traject) en vormt de basis voor volledige begeleiding tot en met oplevering.</w:t>
      </w:r>
    </w:p>
    <w:p>
      <w:pPr>
        <w:spacing w:after="60"/>
        <w:ind w:left="200"/>
      </w:pPr>
      <w:r>
        <w:rPr>
          <w:sz w:val="20"/>
          <w:szCs w:val="20"/>
        </w:rPr>
        <w:t xml:space="preserve">–  SMV Advies vraagt en vergelijkt offertes bij meerdere installateurs en begeleidt de klant volledig bij subsidieaanvragen.</w:t>
      </w:r>
    </w:p>
    <w:p>
      <w:pPr>
        <w:spacing w:after="120" w:before="260"/>
      </w:pPr>
      <w:r>
        <w:rPr>
          <w:b/>
          <w:bCs/>
          <w:color w:val="1F3B57"/>
          <w:sz w:val="24"/>
          <w:szCs w:val="24"/>
        </w:rPr>
        <w:t xml:space="preserve">3. Bouwkundige en installatietechnische analyse</w:t>
      </w:r>
    </w:p>
    <w:p>
      <w:pPr>
        <w:spacing w:after="200"/>
      </w:pPr>
      <w:r>
        <w:rPr>
          <w:i/>
          <w:iCs/>
          <w:color w:val="6B6B6B"/>
          <w:sz w:val="20"/>
          <w:szCs w:val="20"/>
        </w:rPr>
        <w:t xml:space="preserve">Richtwaarden (bouwfysisch, stabiel): gevel/spouwmuur ongeïsoleerd Rc 0,2-0,4 / na-isolatie Rc 1,3-1,5 / eis Rc ≥ 4,7 — dak ongeïsoleerd Rc 0,15-0,3 / na-isolatie Rc 2,5-6,0 / eis Rc ≥ 4,7 — vloer/bodem ongeïsoleerd Rc 0,15-0,2 / na-isolatie Rc 2,5-3,5 / eis Rc ≥ 3,7 — beglazing (U-waarde) enkel glas U≈5,1 / oud dubbel glas U≈2,8-3,0 / HR++ U≈1,1-1,2 / triple U≈0,6-0,8 / eis U ≤ 1,65. Subsidiedrempels (EIA/ISDE) wijzigen jaarlijks — altijd verifiëren tegen de actuele RVO-bron.</w:t>
      </w:r>
    </w:p>
    <w:tbl>
      <w:tblPr>
        <w:tblW w:type="dxa" w:w="1035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000"/>
        <w:gridCol w:w="1656"/>
        <w:gridCol w:w="2000"/>
      </w:tblGrid>
      <w:tr>
        <w:trPr>
          <w:tblHeader/>
        </w:trPr>
        <w:tc>
          <w:tcPr>
            <w:tcW w:type="dxa" w:w="2200"/>
            <w:tcBorders>
              <w:top w:val="single" w:color="B9C4CC" w:sz="2"/>
              <w:left w:val="single" w:color="B9C4CC" w:sz="2"/>
              <w:bottom w:val="single" w:color="B9C4CC" w:sz="2"/>
              <w:right w:val="single" w:color="B9C4CC" w:sz="2"/>
            </w:tcBorders>
            <w:shd w:fill="1F3B57" w:color="auto" w:val="clear"/>
            <w:tcMar>
              <w:top w:type="dxa" w:w="90"/>
              <w:left w:type="dxa" w:w="90"/>
              <w:bottom w:type="dxa" w:w="90"/>
              <w:right w:type="dxa" w:w="90"/>
            </w:tcMar>
            <w:vAlign w:val="center"/>
          </w:tcPr>
          <w:p>
            <w:r>
              <w:rPr>
                <w:b/>
                <w:bCs/>
                <w:color w:val="FFFFFF"/>
                <w:sz w:val="16"/>
                <w:szCs w:val="16"/>
              </w:rPr>
              <w:t xml:space="preserve">Bouwdeel</w:t>
            </w:r>
          </w:p>
        </w:tc>
        <w:tc>
          <w:tcPr>
            <w:tcW w:type="dxa" w:w="2500"/>
            <w:tcBorders>
              <w:top w:val="single" w:color="B9C4CC" w:sz="2"/>
              <w:left w:val="single" w:color="B9C4CC" w:sz="2"/>
              <w:bottom w:val="single" w:color="B9C4CC" w:sz="2"/>
              <w:right w:val="single" w:color="B9C4CC" w:sz="2"/>
            </w:tcBorders>
            <w:shd w:fill="1F3B57" w:color="auto" w:val="clear"/>
            <w:tcMar>
              <w:top w:type="dxa" w:w="90"/>
              <w:left w:type="dxa" w:w="90"/>
              <w:bottom w:type="dxa" w:w="90"/>
              <w:right w:type="dxa" w:w="90"/>
            </w:tcMar>
            <w:vAlign w:val="center"/>
          </w:tcPr>
          <w:p>
            <w:r>
              <w:rPr>
                <w:b/>
                <w:bCs/>
                <w:color w:val="FFFFFF"/>
                <w:sz w:val="16"/>
                <w:szCs w:val="16"/>
              </w:rPr>
              <w:t xml:space="preserve">Huidige Rc- / U-waarde (schatting)</w:t>
            </w:r>
          </w:p>
        </w:tc>
        <w:tc>
          <w:tcPr>
            <w:tcW w:type="dxa" w:w="2000"/>
            <w:tcBorders>
              <w:top w:val="single" w:color="B9C4CC" w:sz="2"/>
              <w:left w:val="single" w:color="B9C4CC" w:sz="2"/>
              <w:bottom w:val="single" w:color="B9C4CC" w:sz="2"/>
              <w:right w:val="single" w:color="B9C4CC" w:sz="2"/>
            </w:tcBorders>
            <w:shd w:fill="1F3B57" w:color="auto" w:val="clear"/>
            <w:tcMar>
              <w:top w:type="dxa" w:w="90"/>
              <w:left w:type="dxa" w:w="90"/>
              <w:bottom w:type="dxa" w:w="90"/>
              <w:right w:type="dxa" w:w="90"/>
            </w:tcMar>
            <w:vAlign w:val="center"/>
          </w:tcPr>
          <w:p>
            <w:r>
              <w:rPr>
                <w:b/>
                <w:bCs/>
                <w:color w:val="FFFFFF"/>
                <w:sz w:val="16"/>
                <w:szCs w:val="16"/>
              </w:rPr>
              <w:t xml:space="preserve">Eis (bestaande bouw)</w:t>
            </w:r>
          </w:p>
        </w:tc>
        <w:tc>
          <w:tcPr>
            <w:tcW w:type="dxa" w:w="1656"/>
            <w:tcBorders>
              <w:top w:val="single" w:color="B9C4CC" w:sz="2"/>
              <w:left w:val="single" w:color="B9C4CC" w:sz="2"/>
              <w:bottom w:val="single" w:color="B9C4CC" w:sz="2"/>
              <w:right w:val="single" w:color="B9C4CC" w:sz="2"/>
            </w:tcBorders>
            <w:shd w:fill="1F3B57" w:color="auto" w:val="clear"/>
            <w:tcMar>
              <w:top w:type="dxa" w:w="90"/>
              <w:left w:type="dxa" w:w="90"/>
              <w:bottom w:type="dxa" w:w="90"/>
              <w:right w:type="dxa" w:w="90"/>
            </w:tcMar>
            <w:vAlign w:val="center"/>
          </w:tcPr>
          <w:p>
            <w:r>
              <w:rPr>
                <w:b/>
                <w:bCs/>
                <w:color w:val="FFFFFF"/>
                <w:sz w:val="16"/>
                <w:szCs w:val="16"/>
              </w:rPr>
              <w:t xml:space="preserve">Beoordeling</w:t>
            </w:r>
          </w:p>
        </w:tc>
        <w:tc>
          <w:tcPr>
            <w:tcW w:type="dxa" w:w="2000"/>
            <w:tcBorders>
              <w:top w:val="single" w:color="B9C4CC" w:sz="2"/>
              <w:left w:val="single" w:color="B9C4CC" w:sz="2"/>
              <w:bottom w:val="single" w:color="B9C4CC" w:sz="2"/>
              <w:right w:val="single" w:color="B9C4CC" w:sz="2"/>
            </w:tcBorders>
            <w:shd w:fill="1F3B57" w:color="auto" w:val="clear"/>
            <w:tcMar>
              <w:top w:type="dxa" w:w="90"/>
              <w:left w:type="dxa" w:w="90"/>
              <w:bottom w:type="dxa" w:w="90"/>
              <w:right w:type="dxa" w:w="90"/>
            </w:tcMar>
            <w:vAlign w:val="center"/>
          </w:tcPr>
          <w:p>
            <w:r>
              <w:rPr>
                <w:b/>
                <w:bCs/>
                <w:color w:val="FFFFFF"/>
                <w:sz w:val="16"/>
                <w:szCs w:val="16"/>
              </w:rPr>
              <w:t xml:space="preserve">Opmerkingen</w:t>
            </w:r>
          </w:p>
        </w:tc>
      </w:tr>
      <w:tr>
        <w:tc>
          <w:tcPr>
            <w:tcW w:type="dxa" w:w="22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Gevel (spouwmuur)</w:t>
            </w:r>
          </w:p>
        </w:tc>
        <w:tc>
          <w:tcPr>
            <w:tcW w:type="dxa" w:w="25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20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Rc ≥ 4,7</w:t>
            </w:r>
          </w:p>
        </w:tc>
        <w:tc>
          <w:tcPr>
            <w:tcW w:type="dxa" w:w="1656"/>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20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r>
      <w:tr>
        <w:tc>
          <w:tcPr>
            <w:tcW w:type="dxa" w:w="22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Dak</w:t>
            </w:r>
          </w:p>
        </w:tc>
        <w:tc>
          <w:tcPr>
            <w:tcW w:type="dxa" w:w="25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20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Rc ≥ 4,7</w:t>
            </w:r>
          </w:p>
        </w:tc>
        <w:tc>
          <w:tcPr>
            <w:tcW w:type="dxa" w:w="1656"/>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20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r>
      <w:tr>
        <w:tc>
          <w:tcPr>
            <w:tcW w:type="dxa" w:w="22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Vloer / bodem</w:t>
            </w:r>
          </w:p>
        </w:tc>
        <w:tc>
          <w:tcPr>
            <w:tcW w:type="dxa" w:w="25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20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Rc ≥ 3,7</w:t>
            </w:r>
          </w:p>
        </w:tc>
        <w:tc>
          <w:tcPr>
            <w:tcW w:type="dxa" w:w="1656"/>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20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r>
      <w:tr>
        <w:tc>
          <w:tcPr>
            <w:tcW w:type="dxa" w:w="22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Beglazing</w:t>
            </w:r>
          </w:p>
        </w:tc>
        <w:tc>
          <w:tcPr>
            <w:tcW w:type="dxa" w:w="25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20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U ≤ 1,65</w:t>
            </w:r>
          </w:p>
        </w:tc>
        <w:tc>
          <w:tcPr>
            <w:tcW w:type="dxa" w:w="1656"/>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20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r>
      <w:tr>
        <w:tc>
          <w:tcPr>
            <w:tcW w:type="dxa" w:w="22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Installaties (verwarming/ventilatie)</w:t>
            </w:r>
          </w:p>
        </w:tc>
        <w:tc>
          <w:tcPr>
            <w:tcW w:type="dxa" w:w="25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n.v.t.</w:t>
            </w:r>
          </w:p>
        </w:tc>
        <w:tc>
          <w:tcPr>
            <w:tcW w:type="dxa" w:w="20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n.v.t.</w:t>
            </w:r>
          </w:p>
        </w:tc>
        <w:tc>
          <w:tcPr>
            <w:tcW w:type="dxa" w:w="1656"/>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20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r>
    </w:tbl>
    <w:p>
      <w:pPr>
        <w:spacing w:after="120" w:before="260"/>
      </w:pPr>
      <w:r>
        <w:rPr>
          <w:b/>
          <w:bCs/>
          <w:color w:val="1F3B57"/>
          <w:sz w:val="24"/>
          <w:szCs w:val="24"/>
        </w:rPr>
        <w:t xml:space="preserve">4. Maatregelen: investering, besparing en terugverdientijd</w:t>
      </w:r>
    </w:p>
    <w:p>
      <w:pPr>
        <w:spacing w:after="120"/>
      </w:pPr>
      <w:r>
        <w:rPr>
          <w:i/>
          <w:iCs/>
          <w:color w:val="6B6B6B"/>
          <w:sz w:val="20"/>
          <w:szCs w:val="20"/>
        </w:rPr>
        <w:t xml:space="preserve">Gesorteerd op prioriteit — we beginnen met de maatregelen met de snelste terugverdientijd.</w:t>
      </w:r>
    </w:p>
    <w:tbl>
      <w:tblPr>
        <w:tblW w:type="dxa" w:w="10356"/>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2100"/>
        <w:gridCol w:w="2100"/>
        <w:gridCol w:w="1600"/>
        <w:gridCol w:w="1156"/>
      </w:tblGrid>
      <w:tr>
        <w:trPr>
          <w:tblHeader/>
        </w:trPr>
        <w:tc>
          <w:tcPr>
            <w:tcW w:type="dxa" w:w="500"/>
            <w:tcBorders>
              <w:top w:val="single" w:color="B9C4CC" w:sz="2"/>
              <w:left w:val="single" w:color="B9C4CC" w:sz="2"/>
              <w:bottom w:val="single" w:color="B9C4CC" w:sz="2"/>
              <w:right w:val="single" w:color="B9C4CC" w:sz="2"/>
            </w:tcBorders>
            <w:shd w:fill="1F3B57" w:color="auto" w:val="clear"/>
            <w:tcMar>
              <w:top w:type="dxa" w:w="90"/>
              <w:left w:type="dxa" w:w="90"/>
              <w:bottom w:type="dxa" w:w="90"/>
              <w:right w:type="dxa" w:w="90"/>
            </w:tcMar>
            <w:vAlign w:val="center"/>
          </w:tcPr>
          <w:p>
            <w:r>
              <w:rPr>
                <w:b/>
                <w:bCs/>
                <w:color w:val="FFFFFF"/>
                <w:sz w:val="16"/>
                <w:szCs w:val="16"/>
              </w:rPr>
              <w:t xml:space="preserve">#</w:t>
            </w:r>
          </w:p>
        </w:tc>
        <w:tc>
          <w:tcPr>
            <w:tcW w:type="dxa" w:w="2900"/>
            <w:tcBorders>
              <w:top w:val="single" w:color="B9C4CC" w:sz="2"/>
              <w:left w:val="single" w:color="B9C4CC" w:sz="2"/>
              <w:bottom w:val="single" w:color="B9C4CC" w:sz="2"/>
              <w:right w:val="single" w:color="B9C4CC" w:sz="2"/>
            </w:tcBorders>
            <w:shd w:fill="1F3B57" w:color="auto" w:val="clear"/>
            <w:tcMar>
              <w:top w:type="dxa" w:w="90"/>
              <w:left w:type="dxa" w:w="90"/>
              <w:bottom w:type="dxa" w:w="90"/>
              <w:right w:type="dxa" w:w="90"/>
            </w:tcMar>
            <w:vAlign w:val="center"/>
          </w:tcPr>
          <w:p>
            <w:r>
              <w:rPr>
                <w:b/>
                <w:bCs/>
                <w:color w:val="FFFFFF"/>
                <w:sz w:val="16"/>
                <w:szCs w:val="16"/>
              </w:rPr>
              <w:t xml:space="preserve">Maatregel</w:t>
            </w:r>
          </w:p>
        </w:tc>
        <w:tc>
          <w:tcPr>
            <w:tcW w:type="dxa" w:w="2100"/>
            <w:tcBorders>
              <w:top w:val="single" w:color="B9C4CC" w:sz="2"/>
              <w:left w:val="single" w:color="B9C4CC" w:sz="2"/>
              <w:bottom w:val="single" w:color="B9C4CC" w:sz="2"/>
              <w:right w:val="single" w:color="B9C4CC" w:sz="2"/>
            </w:tcBorders>
            <w:shd w:fill="1F3B57" w:color="auto" w:val="clear"/>
            <w:tcMar>
              <w:top w:type="dxa" w:w="90"/>
              <w:left w:type="dxa" w:w="90"/>
              <w:bottom w:type="dxa" w:w="90"/>
              <w:right w:type="dxa" w:w="90"/>
            </w:tcMar>
            <w:vAlign w:val="center"/>
          </w:tcPr>
          <w:p>
            <w:r>
              <w:rPr>
                <w:b/>
                <w:bCs/>
                <w:color w:val="FFFFFF"/>
                <w:sz w:val="16"/>
                <w:szCs w:val="16"/>
              </w:rPr>
              <w:t xml:space="preserve">Investering (indicatie, excl. btw)</w:t>
            </w:r>
          </w:p>
        </w:tc>
        <w:tc>
          <w:tcPr>
            <w:tcW w:type="dxa" w:w="2100"/>
            <w:tcBorders>
              <w:top w:val="single" w:color="B9C4CC" w:sz="2"/>
              <w:left w:val="single" w:color="B9C4CC" w:sz="2"/>
              <w:bottom w:val="single" w:color="B9C4CC" w:sz="2"/>
              <w:right w:val="single" w:color="B9C4CC" w:sz="2"/>
            </w:tcBorders>
            <w:shd w:fill="1F3B57" w:color="auto" w:val="clear"/>
            <w:tcMar>
              <w:top w:type="dxa" w:w="90"/>
              <w:left w:type="dxa" w:w="90"/>
              <w:bottom w:type="dxa" w:w="90"/>
              <w:right w:type="dxa" w:w="90"/>
            </w:tcMar>
            <w:vAlign w:val="center"/>
          </w:tcPr>
          <w:p>
            <w:r>
              <w:rPr>
                <w:b/>
                <w:bCs/>
                <w:color w:val="FFFFFF"/>
                <w:sz w:val="16"/>
                <w:szCs w:val="16"/>
              </w:rPr>
              <w:t xml:space="preserve">Besparing per jaar (indicatie)</w:t>
            </w:r>
          </w:p>
        </w:tc>
        <w:tc>
          <w:tcPr>
            <w:tcW w:type="dxa" w:w="1600"/>
            <w:tcBorders>
              <w:top w:val="single" w:color="B9C4CC" w:sz="2"/>
              <w:left w:val="single" w:color="B9C4CC" w:sz="2"/>
              <w:bottom w:val="single" w:color="B9C4CC" w:sz="2"/>
              <w:right w:val="single" w:color="B9C4CC" w:sz="2"/>
            </w:tcBorders>
            <w:shd w:fill="1F3B57" w:color="auto" w:val="clear"/>
            <w:tcMar>
              <w:top w:type="dxa" w:w="90"/>
              <w:left w:type="dxa" w:w="90"/>
              <w:bottom w:type="dxa" w:w="90"/>
              <w:right w:type="dxa" w:w="90"/>
            </w:tcMar>
            <w:vAlign w:val="center"/>
          </w:tcPr>
          <w:p>
            <w:r>
              <w:rPr>
                <w:b/>
                <w:bCs/>
                <w:color w:val="FFFFFF"/>
                <w:sz w:val="16"/>
                <w:szCs w:val="16"/>
              </w:rPr>
              <w:t xml:space="preserve">Terugverdientijd</w:t>
            </w:r>
          </w:p>
        </w:tc>
        <w:tc>
          <w:tcPr>
            <w:tcW w:type="dxa" w:w="1156"/>
            <w:tcBorders>
              <w:top w:val="single" w:color="B9C4CC" w:sz="2"/>
              <w:left w:val="single" w:color="B9C4CC" w:sz="2"/>
              <w:bottom w:val="single" w:color="B9C4CC" w:sz="2"/>
              <w:right w:val="single" w:color="B9C4CC" w:sz="2"/>
            </w:tcBorders>
            <w:shd w:fill="1F3B57" w:color="auto" w:val="clear"/>
            <w:tcMar>
              <w:top w:type="dxa" w:w="90"/>
              <w:left w:type="dxa" w:w="90"/>
              <w:bottom w:type="dxa" w:w="90"/>
              <w:right w:type="dxa" w:w="90"/>
            </w:tcMar>
            <w:vAlign w:val="center"/>
          </w:tcPr>
          <w:p>
            <w:r>
              <w:rPr>
                <w:b/>
                <w:bCs/>
                <w:color w:val="FFFFFF"/>
                <w:sz w:val="16"/>
                <w:szCs w:val="16"/>
              </w:rPr>
              <w:t xml:space="preserve">Prioriteit (1-3)</w:t>
            </w:r>
          </w:p>
        </w:tc>
      </w:tr>
      <w:tr>
        <w:tc>
          <w:tcPr>
            <w:tcW w:type="dxa" w:w="5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1</w:t>
            </w:r>
          </w:p>
        </w:tc>
        <w:tc>
          <w:tcPr>
            <w:tcW w:type="dxa" w:w="29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16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1156"/>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 ]</w:t>
            </w:r>
          </w:p>
        </w:tc>
      </w:tr>
      <w:tr>
        <w:tc>
          <w:tcPr>
            <w:tcW w:type="dxa" w:w="5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2</w:t>
            </w:r>
          </w:p>
        </w:tc>
        <w:tc>
          <w:tcPr>
            <w:tcW w:type="dxa" w:w="29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16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1156"/>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 ]</w:t>
            </w:r>
          </w:p>
        </w:tc>
      </w:tr>
      <w:tr>
        <w:tc>
          <w:tcPr>
            <w:tcW w:type="dxa" w:w="5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3</w:t>
            </w:r>
          </w:p>
        </w:tc>
        <w:tc>
          <w:tcPr>
            <w:tcW w:type="dxa" w:w="29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16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1156"/>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 ]</w:t>
            </w:r>
          </w:p>
        </w:tc>
      </w:tr>
      <w:tr>
        <w:tc>
          <w:tcPr>
            <w:tcW w:type="dxa" w:w="5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4</w:t>
            </w:r>
          </w:p>
        </w:tc>
        <w:tc>
          <w:tcPr>
            <w:tcW w:type="dxa" w:w="29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16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1156"/>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 ]</w:t>
            </w:r>
          </w:p>
        </w:tc>
      </w:tr>
      <w:tr>
        <w:tc>
          <w:tcPr>
            <w:tcW w:type="dxa" w:w="5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5</w:t>
            </w:r>
          </w:p>
        </w:tc>
        <w:tc>
          <w:tcPr>
            <w:tcW w:type="dxa" w:w="29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16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1156"/>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 ]</w:t>
            </w:r>
          </w:p>
        </w:tc>
      </w:tr>
      <w:tr>
        <w:tc>
          <w:tcPr>
            <w:tcW w:type="dxa" w:w="5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6</w:t>
            </w:r>
          </w:p>
        </w:tc>
        <w:tc>
          <w:tcPr>
            <w:tcW w:type="dxa" w:w="29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16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1156"/>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 ]</w:t>
            </w:r>
          </w:p>
        </w:tc>
      </w:tr>
      <w:tr>
        <w:tc>
          <w:tcPr>
            <w:tcW w:type="dxa" w:w="5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7</w:t>
            </w:r>
          </w:p>
        </w:tc>
        <w:tc>
          <w:tcPr>
            <w:tcW w:type="dxa" w:w="29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16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1156"/>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 ]</w:t>
            </w:r>
          </w:p>
        </w:tc>
      </w:tr>
      <w:tr>
        <w:tc>
          <w:tcPr>
            <w:tcW w:type="dxa" w:w="5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8</w:t>
            </w:r>
          </w:p>
        </w:tc>
        <w:tc>
          <w:tcPr>
            <w:tcW w:type="dxa" w:w="29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21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16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1156"/>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 ]</w:t>
            </w:r>
          </w:p>
        </w:tc>
      </w:tr>
    </w:tbl>
    <w:p>
      <w:pPr>
        <w:spacing w:after="120" w:before="260"/>
      </w:pPr>
      <w:r>
        <w:rPr>
          <w:b/>
          <w:bCs/>
          <w:color w:val="1F3B57"/>
          <w:sz w:val="24"/>
          <w:szCs w:val="24"/>
        </w:rPr>
        <w:t xml:space="preserve">5. Subsidiemogelijkheden</w:t>
      </w:r>
    </w:p>
    <w:p>
      <w:pPr>
        <w:spacing w:after="120"/>
      </w:pPr>
      <w:r>
        <w:rPr>
          <w:color w:val="222222"/>
          <w:sz w:val="20"/>
          <w:szCs w:val="20"/>
        </w:rPr>
        <w:t xml:space="preserve">Volledige subsidiebegeleiding (EIA, ISDE en overige regelingen) — SMV Advies verzorgt de aanvraag en bewaakt deadlines en voorwaarden namens de klant.</w:t>
      </w:r>
    </w:p>
    <w:p>
      <w:pPr>
        <w:spacing w:after="120"/>
      </w:pPr>
      <w:r>
        <w:rPr>
          <w:i/>
          <w:iCs/>
          <w:color w:val="6B6B6B"/>
          <w:sz w:val="20"/>
          <w:szCs w:val="20"/>
        </w:rPr>
        <w:t xml:space="preserve">Indicatie per maatregel (categorie en RVO-code invullen op basis van de actuele EIA Energielijst): [in te vullen].</w:t>
      </w:r>
    </w:p>
    <w:p>
      <w:pPr>
        <w:spacing w:after="120" w:before="260"/>
      </w:pPr>
      <w:r>
        <w:rPr>
          <w:b/>
          <w:bCs/>
          <w:color w:val="1F3B57"/>
          <w:sz w:val="24"/>
          <w:szCs w:val="24"/>
        </w:rPr>
        <w:t xml:space="preserve">6. Roadmap: korte, middellange en lange termijn</w:t>
      </w:r>
    </w:p>
    <w:p>
      <w:pPr>
        <w:spacing w:after="60"/>
        <w:ind w:left="200"/>
      </w:pPr>
      <w:r>
        <w:rPr>
          <w:sz w:val="20"/>
          <w:szCs w:val="20"/>
        </w:rPr>
        <w:t xml:space="preserve">–  Korte termijn (0-1 jaar): [in te vullen]</w:t>
      </w:r>
    </w:p>
    <w:p>
      <w:pPr>
        <w:spacing w:after="60"/>
        <w:ind w:left="200"/>
      </w:pPr>
      <w:r>
        <w:rPr>
          <w:sz w:val="20"/>
          <w:szCs w:val="20"/>
        </w:rPr>
        <w:t xml:space="preserve">–  Middellange termijn (1-5 jaar): [in te vullen]</w:t>
      </w:r>
    </w:p>
    <w:p>
      <w:pPr>
        <w:spacing w:after="60"/>
        <w:ind w:left="200"/>
      </w:pPr>
      <w:r>
        <w:rPr>
          <w:sz w:val="20"/>
          <w:szCs w:val="20"/>
        </w:rPr>
        <w:t xml:space="preserve">–  Lange termijn (5+ jaar, gekoppeld aan natuurlijke vervangmomenten): [in te vullen]</w:t>
      </w:r>
    </w:p>
    <w:p>
      <w:pPr>
        <w:spacing w:after="120" w:before="260"/>
      </w:pPr>
      <w:r>
        <w:rPr>
          <w:b/>
          <w:bCs/>
          <w:color w:val="1F3B57"/>
          <w:sz w:val="24"/>
          <w:szCs w:val="24"/>
        </w:rPr>
        <w:t xml:space="preserve">7. Offertevergelijking</w:t>
      </w:r>
    </w:p>
    <w:p>
      <w:pPr>
        <w:spacing w:after="120"/>
      </w:pPr>
      <w:r>
        <w:rPr>
          <w:i/>
          <w:iCs/>
          <w:color w:val="6B6B6B"/>
          <w:sz w:val="20"/>
          <w:szCs w:val="20"/>
        </w:rPr>
        <w:t xml:space="preserve">Offertes opgevraagd en vergeleken bij meerdere installateurs, op basis van dezelfde uitvraag.</w:t>
      </w:r>
    </w:p>
    <w:tbl>
      <w:tblPr>
        <w:tblW w:type="dxa" w:w="1035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1600"/>
        <w:gridCol w:w="2156"/>
      </w:tblGrid>
      <w:tr>
        <w:trPr>
          <w:tblHeader/>
        </w:trPr>
        <w:tc>
          <w:tcPr>
            <w:tcW w:type="dxa" w:w="2200"/>
            <w:tcBorders>
              <w:top w:val="single" w:color="B9C4CC" w:sz="2"/>
              <w:left w:val="single" w:color="B9C4CC" w:sz="2"/>
              <w:bottom w:val="single" w:color="B9C4CC" w:sz="2"/>
              <w:right w:val="single" w:color="B9C4CC" w:sz="2"/>
            </w:tcBorders>
            <w:shd w:fill="1F3B57" w:color="auto" w:val="clear"/>
            <w:tcMar>
              <w:top w:type="dxa" w:w="90"/>
              <w:left w:type="dxa" w:w="90"/>
              <w:bottom w:type="dxa" w:w="90"/>
              <w:right w:type="dxa" w:w="90"/>
            </w:tcMar>
            <w:vAlign w:val="center"/>
          </w:tcPr>
          <w:p>
            <w:r>
              <w:rPr>
                <w:b/>
                <w:bCs/>
                <w:color w:val="FFFFFF"/>
                <w:sz w:val="16"/>
                <w:szCs w:val="16"/>
              </w:rPr>
              <w:t xml:space="preserve">Installateur</w:t>
            </w:r>
          </w:p>
        </w:tc>
        <w:tc>
          <w:tcPr>
            <w:tcW w:type="dxa" w:w="2200"/>
            <w:tcBorders>
              <w:top w:val="single" w:color="B9C4CC" w:sz="2"/>
              <w:left w:val="single" w:color="B9C4CC" w:sz="2"/>
              <w:bottom w:val="single" w:color="B9C4CC" w:sz="2"/>
              <w:right w:val="single" w:color="B9C4CC" w:sz="2"/>
            </w:tcBorders>
            <w:shd w:fill="1F3B57" w:color="auto" w:val="clear"/>
            <w:tcMar>
              <w:top w:type="dxa" w:w="90"/>
              <w:left w:type="dxa" w:w="90"/>
              <w:bottom w:type="dxa" w:w="90"/>
              <w:right w:type="dxa" w:w="90"/>
            </w:tcMar>
            <w:vAlign w:val="center"/>
          </w:tcPr>
          <w:p>
            <w:r>
              <w:rPr>
                <w:b/>
                <w:bCs/>
                <w:color w:val="FFFFFF"/>
                <w:sz w:val="16"/>
                <w:szCs w:val="16"/>
              </w:rPr>
              <w:t xml:space="preserve">Maatregel</w:t>
            </w:r>
          </w:p>
        </w:tc>
        <w:tc>
          <w:tcPr>
            <w:tcW w:type="dxa" w:w="2200"/>
            <w:tcBorders>
              <w:top w:val="single" w:color="B9C4CC" w:sz="2"/>
              <w:left w:val="single" w:color="B9C4CC" w:sz="2"/>
              <w:bottom w:val="single" w:color="B9C4CC" w:sz="2"/>
              <w:right w:val="single" w:color="B9C4CC" w:sz="2"/>
            </w:tcBorders>
            <w:shd w:fill="1F3B57" w:color="auto" w:val="clear"/>
            <w:tcMar>
              <w:top w:type="dxa" w:w="90"/>
              <w:left w:type="dxa" w:w="90"/>
              <w:bottom w:type="dxa" w:w="90"/>
              <w:right w:type="dxa" w:w="90"/>
            </w:tcMar>
            <w:vAlign w:val="center"/>
          </w:tcPr>
          <w:p>
            <w:r>
              <w:rPr>
                <w:b/>
                <w:bCs/>
                <w:color w:val="FFFFFF"/>
                <w:sz w:val="16"/>
                <w:szCs w:val="16"/>
              </w:rPr>
              <w:t xml:space="preserve">Offertebedrag (excl. btw)</w:t>
            </w:r>
          </w:p>
        </w:tc>
        <w:tc>
          <w:tcPr>
            <w:tcW w:type="dxa" w:w="1600"/>
            <w:tcBorders>
              <w:top w:val="single" w:color="B9C4CC" w:sz="2"/>
              <w:left w:val="single" w:color="B9C4CC" w:sz="2"/>
              <w:bottom w:val="single" w:color="B9C4CC" w:sz="2"/>
              <w:right w:val="single" w:color="B9C4CC" w:sz="2"/>
            </w:tcBorders>
            <w:shd w:fill="1F3B57" w:color="auto" w:val="clear"/>
            <w:tcMar>
              <w:top w:type="dxa" w:w="90"/>
              <w:left w:type="dxa" w:w="90"/>
              <w:bottom w:type="dxa" w:w="90"/>
              <w:right w:type="dxa" w:w="90"/>
            </w:tcMar>
            <w:vAlign w:val="center"/>
          </w:tcPr>
          <w:p>
            <w:r>
              <w:rPr>
                <w:b/>
                <w:bCs/>
                <w:color w:val="FFFFFF"/>
                <w:sz w:val="16"/>
                <w:szCs w:val="16"/>
              </w:rPr>
              <w:t xml:space="preserve">Levertijd</w:t>
            </w:r>
          </w:p>
        </w:tc>
        <w:tc>
          <w:tcPr>
            <w:tcW w:type="dxa" w:w="2156"/>
            <w:tcBorders>
              <w:top w:val="single" w:color="B9C4CC" w:sz="2"/>
              <w:left w:val="single" w:color="B9C4CC" w:sz="2"/>
              <w:bottom w:val="single" w:color="B9C4CC" w:sz="2"/>
              <w:right w:val="single" w:color="B9C4CC" w:sz="2"/>
            </w:tcBorders>
            <w:shd w:fill="1F3B57" w:color="auto" w:val="clear"/>
            <w:tcMar>
              <w:top w:type="dxa" w:w="90"/>
              <w:left w:type="dxa" w:w="90"/>
              <w:bottom w:type="dxa" w:w="90"/>
              <w:right w:type="dxa" w:w="90"/>
            </w:tcMar>
            <w:vAlign w:val="center"/>
          </w:tcPr>
          <w:p>
            <w:r>
              <w:rPr>
                <w:b/>
                <w:bCs/>
                <w:color w:val="FFFFFF"/>
                <w:sz w:val="16"/>
                <w:szCs w:val="16"/>
              </w:rPr>
              <w:t xml:space="preserve">Opmerkingen</w:t>
            </w:r>
          </w:p>
        </w:tc>
      </w:tr>
      <w:tr>
        <w:tc>
          <w:tcPr>
            <w:tcW w:type="dxa" w:w="22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22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22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16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2156"/>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r>
      <w:tr>
        <w:tc>
          <w:tcPr>
            <w:tcW w:type="dxa" w:w="22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22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22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16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c>
          <w:tcPr>
            <w:tcW w:type="dxa" w:w="2156"/>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r>
      <w:tr>
        <w:tc>
          <w:tcPr>
            <w:tcW w:type="dxa" w:w="22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22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22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16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c>
          <w:tcPr>
            <w:tcW w:type="dxa" w:w="2156"/>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r>
    </w:tbl>
    <w:p>
      <w:pPr>
        <w:spacing w:after="120" w:before="260"/>
      </w:pPr>
      <w:r>
        <w:rPr>
          <w:b/>
          <w:bCs/>
          <w:color w:val="1F3B57"/>
          <w:sz w:val="24"/>
          <w:szCs w:val="24"/>
        </w:rPr>
        <w:t xml:space="preserve">8. Subsidiebegeleidingsplan</w:t>
      </w:r>
    </w:p>
    <w:tbl>
      <w:tblPr>
        <w:tblW w:type="dxa" w:w="8356"/>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2400"/>
        <w:gridCol w:w="1456"/>
      </w:tblGrid>
      <w:tr>
        <w:trPr>
          <w:tblHeader/>
        </w:trPr>
        <w:tc>
          <w:tcPr>
            <w:tcW w:type="dxa" w:w="700"/>
            <w:tcBorders>
              <w:top w:val="single" w:color="B9C4CC" w:sz="2"/>
              <w:left w:val="single" w:color="B9C4CC" w:sz="2"/>
              <w:bottom w:val="single" w:color="B9C4CC" w:sz="2"/>
              <w:right w:val="single" w:color="B9C4CC" w:sz="2"/>
            </w:tcBorders>
            <w:shd w:fill="1F3B57" w:color="auto" w:val="clear"/>
            <w:tcMar>
              <w:top w:type="dxa" w:w="90"/>
              <w:left w:type="dxa" w:w="90"/>
              <w:bottom w:type="dxa" w:w="90"/>
              <w:right w:type="dxa" w:w="90"/>
            </w:tcMar>
            <w:vAlign w:val="center"/>
          </w:tcPr>
          <w:p>
            <w:r>
              <w:rPr>
                <w:b/>
                <w:bCs/>
                <w:color w:val="FFFFFF"/>
                <w:sz w:val="16"/>
                <w:szCs w:val="16"/>
              </w:rPr>
              <w:t xml:space="preserve">Stap</w:t>
            </w:r>
          </w:p>
        </w:tc>
        <w:tc>
          <w:tcPr>
            <w:tcW w:type="dxa" w:w="3800"/>
            <w:tcBorders>
              <w:top w:val="single" w:color="B9C4CC" w:sz="2"/>
              <w:left w:val="single" w:color="B9C4CC" w:sz="2"/>
              <w:bottom w:val="single" w:color="B9C4CC" w:sz="2"/>
              <w:right w:val="single" w:color="B9C4CC" w:sz="2"/>
            </w:tcBorders>
            <w:shd w:fill="1F3B57" w:color="auto" w:val="clear"/>
            <w:tcMar>
              <w:top w:type="dxa" w:w="90"/>
              <w:left w:type="dxa" w:w="90"/>
              <w:bottom w:type="dxa" w:w="90"/>
              <w:right w:type="dxa" w:w="90"/>
            </w:tcMar>
            <w:vAlign w:val="center"/>
          </w:tcPr>
          <w:p>
            <w:r>
              <w:rPr>
                <w:b/>
                <w:bCs/>
                <w:color w:val="FFFFFF"/>
                <w:sz w:val="16"/>
                <w:szCs w:val="16"/>
              </w:rPr>
              <w:t xml:space="preserve">Actie</w:t>
            </w:r>
          </w:p>
        </w:tc>
        <w:tc>
          <w:tcPr>
            <w:tcW w:type="dxa" w:w="2400"/>
            <w:tcBorders>
              <w:top w:val="single" w:color="B9C4CC" w:sz="2"/>
              <w:left w:val="single" w:color="B9C4CC" w:sz="2"/>
              <w:bottom w:val="single" w:color="B9C4CC" w:sz="2"/>
              <w:right w:val="single" w:color="B9C4CC" w:sz="2"/>
            </w:tcBorders>
            <w:shd w:fill="1F3B57" w:color="auto" w:val="clear"/>
            <w:tcMar>
              <w:top w:type="dxa" w:w="90"/>
              <w:left w:type="dxa" w:w="90"/>
              <w:bottom w:type="dxa" w:w="90"/>
              <w:right w:type="dxa" w:w="90"/>
            </w:tcMar>
            <w:vAlign w:val="center"/>
          </w:tcPr>
          <w:p>
            <w:r>
              <w:rPr>
                <w:b/>
                <w:bCs/>
                <w:color w:val="FFFFFF"/>
                <w:sz w:val="16"/>
                <w:szCs w:val="16"/>
              </w:rPr>
              <w:t xml:space="preserve">Verantwoordelijke</w:t>
            </w:r>
          </w:p>
        </w:tc>
        <w:tc>
          <w:tcPr>
            <w:tcW w:type="dxa" w:w="1456"/>
            <w:tcBorders>
              <w:top w:val="single" w:color="B9C4CC" w:sz="2"/>
              <w:left w:val="single" w:color="B9C4CC" w:sz="2"/>
              <w:bottom w:val="single" w:color="B9C4CC" w:sz="2"/>
              <w:right w:val="single" w:color="B9C4CC" w:sz="2"/>
            </w:tcBorders>
            <w:shd w:fill="1F3B57" w:color="auto" w:val="clear"/>
            <w:tcMar>
              <w:top w:type="dxa" w:w="90"/>
              <w:left w:type="dxa" w:w="90"/>
              <w:bottom w:type="dxa" w:w="90"/>
              <w:right w:type="dxa" w:w="90"/>
            </w:tcMar>
            <w:vAlign w:val="center"/>
          </w:tcPr>
          <w:p>
            <w:r>
              <w:rPr>
                <w:b/>
                <w:bCs/>
                <w:color w:val="FFFFFF"/>
                <w:sz w:val="16"/>
                <w:szCs w:val="16"/>
              </w:rPr>
              <w:t xml:space="preserve">Deadline</w:t>
            </w:r>
          </w:p>
        </w:tc>
      </w:tr>
      <w:tr>
        <w:tc>
          <w:tcPr>
            <w:tcW w:type="dxa" w:w="7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1</w:t>
            </w:r>
          </w:p>
        </w:tc>
        <w:tc>
          <w:tcPr>
            <w:tcW w:type="dxa" w:w="38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EIA-melding indienen bij RVO (binnen 3 maanden na het aangaan van de investeringsverplichting)</w:t>
            </w:r>
          </w:p>
        </w:tc>
        <w:tc>
          <w:tcPr>
            <w:tcW w:type="dxa" w:w="24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SMV Advies</w:t>
            </w:r>
          </w:p>
        </w:tc>
        <w:tc>
          <w:tcPr>
            <w:tcW w:type="dxa" w:w="1456"/>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r>
      <w:tr>
        <w:tc>
          <w:tcPr>
            <w:tcW w:type="dxa" w:w="7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2</w:t>
            </w:r>
          </w:p>
        </w:tc>
        <w:tc>
          <w:tcPr>
            <w:tcW w:type="dxa" w:w="38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ISDE-aanvraag voorbereiden en indienen (vóór start uitvoering, per regeling verschillend)</w:t>
            </w:r>
          </w:p>
        </w:tc>
        <w:tc>
          <w:tcPr>
            <w:tcW w:type="dxa" w:w="2400"/>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SMV Advies</w:t>
            </w:r>
          </w:p>
        </w:tc>
        <w:tc>
          <w:tcPr>
            <w:tcW w:type="dxa" w:w="1456"/>
            <w:tcBorders>
              <w:top w:val="single" w:color="B9C4CC" w:sz="2"/>
              <w:left w:val="single" w:color="B9C4CC" w:sz="2"/>
              <w:bottom w:val="single" w:color="B9C4CC" w:sz="2"/>
              <w:right w:val="single" w:color="B9C4CC" w:sz="2"/>
            </w:tcBorders>
            <w:shd w:fill="EAF0F4" w:color="auto" w:val="clear"/>
            <w:tcMar>
              <w:top w:type="dxa" w:w="80"/>
              <w:left w:type="dxa" w:w="90"/>
              <w:bottom w:type="dxa" w:w="80"/>
              <w:right w:type="dxa" w:w="90"/>
            </w:tcMar>
            <w:vAlign w:val="top"/>
          </w:tcPr>
          <w:p>
            <w:r>
              <w:rPr>
                <w:color w:val="222222"/>
                <w:sz w:val="17"/>
                <w:szCs w:val="17"/>
              </w:rPr>
              <w:t xml:space="preserve">[in te vullen]</w:t>
            </w:r>
          </w:p>
        </w:tc>
      </w:tr>
      <w:tr>
        <w:tc>
          <w:tcPr>
            <w:tcW w:type="dxa" w:w="7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3</w:t>
            </w:r>
          </w:p>
        </w:tc>
        <w:tc>
          <w:tcPr>
            <w:tcW w:type="dxa" w:w="38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Nacalculatie en verantwoording na uitvoering (facturen, technische bewijsstukken)</w:t>
            </w:r>
          </w:p>
        </w:tc>
        <w:tc>
          <w:tcPr>
            <w:tcW w:type="dxa" w:w="2400"/>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Klant + SMV Advies</w:t>
            </w:r>
          </w:p>
        </w:tc>
        <w:tc>
          <w:tcPr>
            <w:tcW w:type="dxa" w:w="1456"/>
            <w:tcBorders>
              <w:top w:val="single" w:color="B9C4CC" w:sz="2"/>
              <w:left w:val="single" w:color="B9C4CC" w:sz="2"/>
              <w:bottom w:val="single" w:color="B9C4CC" w:sz="2"/>
              <w:right w:val="single" w:color="B9C4CC" w:sz="2"/>
            </w:tcBorders>
            <w:tcMar>
              <w:top w:type="dxa" w:w="80"/>
              <w:left w:type="dxa" w:w="90"/>
              <w:bottom w:type="dxa" w:w="80"/>
              <w:right w:type="dxa" w:w="90"/>
            </w:tcMar>
            <w:vAlign w:val="top"/>
          </w:tcPr>
          <w:p>
            <w:r>
              <w:rPr>
                <w:color w:val="222222"/>
                <w:sz w:val="17"/>
                <w:szCs w:val="17"/>
              </w:rPr>
              <w:t xml:space="preserve">[in te vullen]</w:t>
            </w:r>
          </w:p>
        </w:tc>
      </w:tr>
    </w:tbl>
    <w:p>
      <w:pPr>
        <w:spacing w:after="120" w:before="260"/>
      </w:pPr>
      <w:r>
        <w:rPr>
          <w:b/>
          <w:bCs/>
          <w:color w:val="1F3B57"/>
          <w:sz w:val="24"/>
          <w:szCs w:val="24"/>
        </w:rPr>
        <w:t xml:space="preserve">9. Planning en aanspreekpunt</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118"/>
        <w:gridCol w:w="3119"/>
        <w:gridCol w:w="3119"/>
      </w:tblGrid>
      <w:tr>
        <w:tc>
          <w:tcPr>
            <w:tcW w:type="dxa" w:w="3118"/>
            <w:tcBorders>
              <w:top w:val="single" w:color="B9C4CC" w:sz="2"/>
              <w:left w:val="single" w:color="B9C4CC" w:sz="2"/>
              <w:bottom w:val="single" w:color="B9C4CC" w:sz="2"/>
              <w:right w:val="single" w:color="B9C4CC" w:sz="2"/>
            </w:tcBorders>
            <w:shd w:fill="EAF0F4" w:color="auto" w:val="clear"/>
            <w:tcMar>
              <w:top w:type="dxa" w:w="80"/>
              <w:left w:type="dxa" w:w="100"/>
              <w:bottom w:type="dxa" w:w="80"/>
              <w:right w:type="dxa" w:w="100"/>
            </w:tcMar>
          </w:tcPr>
          <w:p>
            <w:r>
              <w:rPr>
                <w:b/>
                <w:bCs/>
                <w:sz w:val="18"/>
                <w:szCs w:val="18"/>
              </w:rPr>
              <w:t xml:space="preserve">Vast aanspreekpunt</w:t>
            </w:r>
          </w:p>
        </w:tc>
        <w:tc>
          <w:tcPr>
            <w:tcW w:type="dxa" w:w="3119"/>
            <w:tcBorders>
              <w:top w:val="single" w:color="B9C4CC" w:sz="2"/>
              <w:left w:val="single" w:color="B9C4CC" w:sz="2"/>
              <w:bottom w:val="single" w:color="B9C4CC" w:sz="2"/>
              <w:right w:val="single" w:color="B9C4CC" w:sz="2"/>
            </w:tcBorders>
            <w:tcMar>
              <w:top w:type="dxa" w:w="80"/>
              <w:left w:type="dxa" w:w="100"/>
              <w:bottom w:type="dxa" w:w="80"/>
              <w:right w:type="dxa" w:w="100"/>
            </w:tcMar>
          </w:tcPr>
          <w:p>
            <w:r>
              <w:rPr>
                <w:sz w:val="18"/>
                <w:szCs w:val="18"/>
              </w:rPr>
              <w:t xml:space="preserve"/>
            </w:r>
          </w:p>
        </w:tc>
        <w:tc>
          <w:tcPr>
            <w:tcW w:type="dxa" w:w="3119"/>
            <w:tcBorders>
              <w:top w:val="single" w:color="B9C4CC" w:sz="2"/>
              <w:left w:val="single" w:color="B9C4CC" w:sz="2"/>
              <w:bottom w:val="single" w:color="B9C4CC" w:sz="2"/>
              <w:right w:val="single" w:color="B9C4CC" w:sz="2"/>
            </w:tcBorders>
            <w:tcMar>
              <w:top w:type="dxa" w:w="80"/>
              <w:left w:type="dxa" w:w="100"/>
              <w:bottom w:type="dxa" w:w="80"/>
              <w:right w:type="dxa" w:w="100"/>
            </w:tcMar>
          </w:tcPr>
          <w:p>
            <w:r>
              <w:rPr>
                <w:sz w:val="18"/>
                <w:szCs w:val="18"/>
              </w:rPr>
              <w:t xml:space="preserve"/>
            </w:r>
          </w:p>
        </w:tc>
      </w:tr>
      <w:tr>
        <w:tc>
          <w:tcPr>
            <w:tcW w:type="dxa" w:w="3118"/>
            <w:tcBorders>
              <w:top w:val="single" w:color="B9C4CC" w:sz="2"/>
              <w:left w:val="single" w:color="B9C4CC" w:sz="2"/>
              <w:bottom w:val="single" w:color="B9C4CC" w:sz="2"/>
              <w:right w:val="single" w:color="B9C4CC" w:sz="2"/>
            </w:tcBorders>
            <w:shd w:fill="EAF0F4" w:color="auto" w:val="clear"/>
            <w:tcMar>
              <w:top w:type="dxa" w:w="80"/>
              <w:left w:type="dxa" w:w="100"/>
              <w:bottom w:type="dxa" w:w="80"/>
              <w:right w:type="dxa" w:w="100"/>
            </w:tcMar>
          </w:tcPr>
          <w:p>
            <w:r>
              <w:rPr>
                <w:b/>
                <w:bCs/>
                <w:sz w:val="18"/>
                <w:szCs w:val="18"/>
              </w:rPr>
              <w:t xml:space="preserve">Verwachte doorlooptijd</w:t>
            </w:r>
          </w:p>
        </w:tc>
        <w:tc>
          <w:tcPr>
            <w:tcW w:type="dxa" w:w="3119"/>
            <w:tcBorders>
              <w:top w:val="single" w:color="B9C4CC" w:sz="2"/>
              <w:left w:val="single" w:color="B9C4CC" w:sz="2"/>
              <w:bottom w:val="single" w:color="B9C4CC" w:sz="2"/>
              <w:right w:val="single" w:color="B9C4CC" w:sz="2"/>
            </w:tcBorders>
            <w:tcMar>
              <w:top w:type="dxa" w:w="80"/>
              <w:left w:type="dxa" w:w="100"/>
              <w:bottom w:type="dxa" w:w="80"/>
              <w:right w:type="dxa" w:w="100"/>
            </w:tcMar>
          </w:tcPr>
          <w:p>
            <w:r>
              <w:rPr>
                <w:sz w:val="18"/>
                <w:szCs w:val="18"/>
              </w:rPr>
              <w:t xml:space="preserve"/>
            </w:r>
          </w:p>
        </w:tc>
        <w:tc>
          <w:tcPr>
            <w:tcW w:type="dxa" w:w="3119"/>
            <w:tcBorders>
              <w:top w:val="single" w:color="B9C4CC" w:sz="2"/>
              <w:left w:val="single" w:color="B9C4CC" w:sz="2"/>
              <w:bottom w:val="single" w:color="B9C4CC" w:sz="2"/>
              <w:right w:val="single" w:color="B9C4CC" w:sz="2"/>
            </w:tcBorders>
            <w:tcMar>
              <w:top w:type="dxa" w:w="80"/>
              <w:left w:type="dxa" w:w="100"/>
              <w:bottom w:type="dxa" w:w="80"/>
              <w:right w:type="dxa" w:w="100"/>
            </w:tcMar>
          </w:tcPr>
          <w:p>
            <w:r>
              <w:rPr>
                <w:sz w:val="18"/>
                <w:szCs w:val="18"/>
              </w:rPr>
              <w:t xml:space="preserve"/>
            </w:r>
          </w:p>
        </w:tc>
      </w:tr>
      <w:tr>
        <w:tc>
          <w:tcPr>
            <w:tcW w:type="dxa" w:w="3118"/>
            <w:tcBorders>
              <w:top w:val="single" w:color="B9C4CC" w:sz="2"/>
              <w:left w:val="single" w:color="B9C4CC" w:sz="2"/>
              <w:bottom w:val="single" w:color="B9C4CC" w:sz="2"/>
              <w:right w:val="single" w:color="B9C4CC" w:sz="2"/>
            </w:tcBorders>
            <w:shd w:fill="EAF0F4" w:color="auto" w:val="clear"/>
            <w:tcMar>
              <w:top w:type="dxa" w:w="80"/>
              <w:left w:type="dxa" w:w="100"/>
              <w:bottom w:type="dxa" w:w="80"/>
              <w:right w:type="dxa" w:w="100"/>
            </w:tcMar>
          </w:tcPr>
          <w:p>
            <w:r>
              <w:rPr>
                <w:b/>
                <w:bCs/>
                <w:sz w:val="18"/>
                <w:szCs w:val="18"/>
              </w:rPr>
              <w:t xml:space="preserve">Eerstvolgend contactmoment</w:t>
            </w:r>
          </w:p>
        </w:tc>
        <w:tc>
          <w:tcPr>
            <w:tcW w:type="dxa" w:w="3119"/>
            <w:tcBorders>
              <w:top w:val="single" w:color="B9C4CC" w:sz="2"/>
              <w:left w:val="single" w:color="B9C4CC" w:sz="2"/>
              <w:bottom w:val="single" w:color="B9C4CC" w:sz="2"/>
              <w:right w:val="single" w:color="B9C4CC" w:sz="2"/>
            </w:tcBorders>
            <w:tcMar>
              <w:top w:type="dxa" w:w="80"/>
              <w:left w:type="dxa" w:w="100"/>
              <w:bottom w:type="dxa" w:w="80"/>
              <w:right w:type="dxa" w:w="100"/>
            </w:tcMar>
          </w:tcPr>
          <w:p>
            <w:r>
              <w:rPr>
                <w:sz w:val="18"/>
                <w:szCs w:val="18"/>
              </w:rPr>
              <w:t xml:space="preserve"/>
            </w:r>
          </w:p>
        </w:tc>
        <w:tc>
          <w:tcPr>
            <w:tcW w:type="dxa" w:w="3119"/>
            <w:tcBorders>
              <w:top w:val="single" w:color="B9C4CC" w:sz="2"/>
              <w:left w:val="single" w:color="B9C4CC" w:sz="2"/>
              <w:bottom w:val="single" w:color="B9C4CC" w:sz="2"/>
              <w:right w:val="single" w:color="B9C4CC" w:sz="2"/>
            </w:tcBorders>
            <w:tcMar>
              <w:top w:type="dxa" w:w="80"/>
              <w:left w:type="dxa" w:w="100"/>
              <w:bottom w:type="dxa" w:w="80"/>
              <w:right w:type="dxa" w:w="100"/>
            </w:tcMar>
          </w:tcPr>
          <w:p>
            <w:r>
              <w:rPr>
                <w:sz w:val="18"/>
                <w:szCs w:val="18"/>
              </w:rPr>
              <w:t xml:space="preserve"/>
            </w:r>
          </w:p>
        </w:tc>
      </w:tr>
    </w:tbl>
    <w:p>
      <w:pPr>
        <w:spacing w:after="120" w:before="260"/>
      </w:pPr>
      <w:r>
        <w:rPr>
          <w:b/>
          <w:bCs/>
          <w:color w:val="1F3B57"/>
          <w:sz w:val="24"/>
          <w:szCs w:val="24"/>
        </w:rPr>
        <w:t xml:space="preserve">10. Oplevering en nazorg</w:t>
      </w:r>
    </w:p>
    <w:p>
      <w:pPr>
        <w:spacing w:after="80"/>
        <w:ind w:left="200"/>
      </w:pPr>
      <w:r>
        <w:rPr>
          <w:sz w:val="20"/>
          <w:szCs w:val="20"/>
        </w:rPr>
        <w:t xml:space="preserve">☐  Eindcontrole uitgevoerd op locatie</w:t>
      </w:r>
    </w:p>
    <w:p>
      <w:pPr>
        <w:spacing w:after="80"/>
        <w:ind w:left="200"/>
      </w:pPr>
      <w:r>
        <w:rPr>
          <w:sz w:val="20"/>
          <w:szCs w:val="20"/>
        </w:rPr>
        <w:t xml:space="preserve">☐  Facturen en offertes gearchiveerd</w:t>
      </w:r>
    </w:p>
    <w:p>
      <w:pPr>
        <w:spacing w:after="80"/>
        <w:ind w:left="200"/>
      </w:pPr>
      <w:r>
        <w:rPr>
          <w:sz w:val="20"/>
          <w:szCs w:val="20"/>
        </w:rPr>
        <w:t xml:space="preserve">☐  Subsidiebeschikking(en) ontvangen en gecontroleerd</w:t>
      </w:r>
    </w:p>
    <w:p>
      <w:pPr>
        <w:spacing w:after="80"/>
        <w:ind w:left="200"/>
      </w:pPr>
      <w:r>
        <w:rPr>
          <w:sz w:val="20"/>
          <w:szCs w:val="20"/>
        </w:rPr>
        <w:t xml:space="preserve">☐  Garantiebewijzen overhandigd aan klant</w:t>
      </w:r>
    </w:p>
    <w:p>
      <w:pPr>
        <w:spacing w:after="80"/>
        <w:ind w:left="200"/>
      </w:pPr>
      <w:r>
        <w:rPr>
          <w:sz w:val="20"/>
          <w:szCs w:val="20"/>
        </w:rPr>
        <w:t xml:space="preserve">☐  Nazorgmoment ingepland (bijv. na 1 jaar)</w:t>
      </w:r>
    </w:p>
    <w:p>
      <w:pPr>
        <w:spacing w:after="120" w:before="260"/>
      </w:pPr>
      <w:r>
        <w:rPr>
          <w:b/>
          <w:bCs/>
          <w:color w:val="1F3B57"/>
          <w:sz w:val="24"/>
          <w:szCs w:val="24"/>
        </w:rPr>
        <w:t xml:space="preserve">11. Vervolgstap</w:t>
      </w:r>
    </w:p>
    <w:p>
      <w:pPr>
        <w:spacing w:after="120"/>
      </w:pPr>
      <w:r>
        <w:rPr>
          <w:color w:val="222222"/>
          <w:sz w:val="20"/>
          <w:szCs w:val="20"/>
        </w:rPr>
        <w:t xml:space="preserve">Na oplevering van de laatste maatregel sluiten we dit traject af met een eindcontrole en plannen we desgewenst een nazorgmoment na 1 jaar.</w:t>
      </w:r>
    </w:p>
    <w:p>
      <w:pPr>
        <w:pBdr>
          <w:top w:val="single" w:color="B9C4CC" w:sz="4" w:space="8"/>
        </w:pBdr>
        <w:spacing w:before="260"/>
      </w:pPr>
      <w:r>
        <w:rPr>
          <w:i/>
          <w:iCs/>
          <w:color w:val="6B6B6B"/>
          <w:sz w:val="16"/>
          <w:szCs w:val="16"/>
        </w:rPr>
        <w:t xml:space="preserve">Dit rapport dekt het volledige traject van analyse tot en met oplevering; genoemde offertebedragen zijn afkomstig van derde partijen en vallen buiten de verantwoordelijkheid van SMV Advies. Dit rapport is een hulpmiddel bij het adviestraject van SMV Advies en vervangt geen formele bouwkundige keuring. Genoemde investeringen, besparingen, terugverdientijden en subsidiemogelijkheden zijn indicaties op basis van de op het moment van opname beschikbare informatie; SMV Advies neemt nooit commissie of vergoeding van installateurs of aannemers voor genoemde maatregelen. Ons advies is uitsluitend gebaseerd op het belang van de klant.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8d666f019a1726624d600be35c979ca99d8138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2026-09-30T09:42:15.173Z</dcterms:created>
  <dcterms:modified xsi:type="dcterms:W3CDTF">2026-09-30T09:42:15.173Z</dcterms:modified>
</cp:coreProperties>
</file>

<file path=docProps/custom.xml><?xml version="1.0" encoding="utf-8"?>
<Properties xmlns="http://schemas.openxmlformats.org/officeDocument/2006/custom-properties" xmlns:vt="http://schemas.openxmlformats.org/officeDocument/2006/docPropsVTypes"/>
</file>