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sz w:val="28"/>
          <w:szCs w:val="28"/>
        </w:rPr>
      </w:pPr>
      <w:r w:rsidDel="00000000" w:rsidR="00000000" w:rsidRPr="00000000">
        <w:rPr>
          <w:b w:val="1"/>
          <w:i w:val="1"/>
          <w:sz w:val="28"/>
          <w:szCs w:val="28"/>
          <w:rtl w:val="0"/>
        </w:rPr>
        <w:t xml:space="preserve">De Novo</w:t>
      </w:r>
      <w:r w:rsidDel="00000000" w:rsidR="00000000" w:rsidRPr="00000000">
        <w:rPr>
          <w:b w:val="1"/>
          <w:sz w:val="28"/>
          <w:szCs w:val="28"/>
          <w:rtl w:val="0"/>
        </w:rPr>
        <w:t xml:space="preserve"> Transcriptome Profiling of β-cells in Type 2 Diabetes Patients</w:t>
      </w:r>
    </w:p>
    <w:p w:rsidR="00000000" w:rsidDel="00000000" w:rsidP="00000000" w:rsidRDefault="00000000" w:rsidRPr="00000000" w14:paraId="00000002">
      <w:pPr>
        <w:spacing w:line="276" w:lineRule="auto"/>
        <w:jc w:val="center"/>
        <w:rPr/>
      </w:pPr>
      <w:r w:rsidDel="00000000" w:rsidR="00000000" w:rsidRPr="00000000">
        <w:rPr>
          <w:rtl w:val="0"/>
        </w:rPr>
        <w:t xml:space="preserve">Dinesh Sambhaji Pradhan, Asmitha Nagajothi Purushotam, Vedant Kulkarni, Richard Goodier</w:t>
      </w:r>
    </w:p>
    <w:p w:rsidR="00000000" w:rsidDel="00000000" w:rsidP="00000000" w:rsidRDefault="00000000" w:rsidRPr="00000000" w14:paraId="00000003">
      <w:pPr>
        <w:spacing w:line="276" w:lineRule="auto"/>
        <w:jc w:val="center"/>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production of hormones like glucagon and insulin in the pancreatic islets is very important in regulating glucose metabolism. For Type 1 and Type 2 diabetes, conditions in which genetic factors play an important role, a full understanding of the molecular mechanism underlying these cells is key. In this kind of study, RNA sequencing would be ideal since it is one of the most powerful techniques allowing the investigation of the transcriptome in high resolution.</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approach includes employing RNA sequencing data to re-analyze transcriptome profiling in human pancreatic islets. A powerful de novo assembly and annotation workflow will be used mainly to investigate gene expression patterns, functional annotations, and differential expression in experimental contexts. This approach will be used to profile the molecular pathways controlling islet biology and possible disease states, including diabetes.</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combines strategies from two significant research papers:</w:t>
      </w:r>
    </w:p>
    <w:p w:rsidR="00000000" w:rsidDel="00000000" w:rsidP="00000000" w:rsidRDefault="00000000" w:rsidRPr="00000000" w14:paraId="0000000A">
      <w:pPr>
        <w:numPr>
          <w:ilvl w:val="0"/>
          <w:numId w:val="4"/>
        </w:numPr>
        <w:spacing w:after="0" w:before="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Approach to transcriptomic profiling of pancreatic cells adopted from Paper 1(Grenko et al. 2024), </w:t>
      </w:r>
      <w:r w:rsidDel="00000000" w:rsidR="00000000" w:rsidRPr="00000000">
        <w:rPr>
          <w:rFonts w:ascii="Times New Roman" w:cs="Times New Roman" w:eastAsia="Times New Roman" w:hAnsi="Times New Roman"/>
          <w:sz w:val="24"/>
          <w:szCs w:val="24"/>
          <w:highlight w:val="white"/>
          <w:rtl w:val="0"/>
        </w:rPr>
        <w:t xml:space="preserve">for human pancreatic islets but optimized for time points other than 24 hours.</w:t>
      </w:r>
      <w:r w:rsidDel="00000000" w:rsidR="00000000" w:rsidRPr="00000000">
        <w:rPr>
          <w:rtl w:val="0"/>
        </w:rPr>
      </w:r>
    </w:p>
    <w:p w:rsidR="00000000" w:rsidDel="00000000" w:rsidP="00000000" w:rsidRDefault="00000000" w:rsidRPr="00000000" w14:paraId="0000000B">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complete de novo assembly and annotation pipeline described in Paper 2 (Raghavan et al. 2022) includes a systematic process and advanced transcriptome analysis tools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C">
      <w:pPr>
        <w:pStyle w:val="Heading3"/>
        <w:keepNext w:val="0"/>
        <w:keepLines w:val="0"/>
        <w:spacing w:before="280" w:line="276" w:lineRule="auto"/>
        <w:jc w:val="both"/>
        <w:rPr>
          <w:rFonts w:ascii="Times New Roman" w:cs="Times New Roman" w:eastAsia="Times New Roman" w:hAnsi="Times New Roman"/>
          <w:b w:val="1"/>
          <w:color w:val="000000"/>
          <w:sz w:val="24"/>
          <w:szCs w:val="24"/>
        </w:rPr>
      </w:pPr>
      <w:bookmarkStart w:colFirst="0" w:colLast="0" w:name="_ddud8kfjp15u" w:id="0"/>
      <w:bookmarkEnd w:id="0"/>
      <w:r w:rsidDel="00000000" w:rsidR="00000000" w:rsidRPr="00000000">
        <w:rPr>
          <w:rFonts w:ascii="Times New Roman" w:cs="Times New Roman" w:eastAsia="Times New Roman" w:hAnsi="Times New Roman"/>
          <w:b w:val="1"/>
          <w:color w:val="000000"/>
          <w:sz w:val="24"/>
          <w:szCs w:val="24"/>
          <w:rtl w:val="0"/>
        </w:rPr>
        <w:t xml:space="preserve">Software and Scripting Requirements</w:t>
      </w:r>
    </w:p>
    <w:p w:rsidR="00000000" w:rsidDel="00000000" w:rsidP="00000000" w:rsidRDefault="00000000" w:rsidRPr="00000000" w14:paraId="0000000D">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Languages: Python, Bash, R.</w:t>
      </w:r>
    </w:p>
    <w:p w:rsidR="00000000" w:rsidDel="00000000" w:rsidP="00000000" w:rsidRDefault="00000000" w:rsidRPr="00000000" w14:paraId="0000000E">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Tools and Libraries:</w:t>
      </w:r>
    </w:p>
    <w:p w:rsidR="00000000" w:rsidDel="00000000" w:rsidP="00000000" w:rsidRDefault="00000000" w:rsidRPr="00000000" w14:paraId="0000000F">
      <w:pPr>
        <w:numPr>
          <w:ilvl w:val="0"/>
          <w:numId w:val="2"/>
        </w:numPr>
        <w:spacing w:after="0" w:before="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Python/Bash: </w:t>
      </w:r>
    </w:p>
    <w:p w:rsidR="00000000" w:rsidDel="00000000" w:rsidP="00000000" w:rsidRDefault="00000000" w:rsidRPr="00000000" w14:paraId="00000010">
      <w:pPr>
        <w:spacing w:after="0" w:before="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fastp, Trinity, BUSCO, Salmon, BLAST, Trinotate.</w:t>
      </w:r>
    </w:p>
    <w:p w:rsidR="00000000" w:rsidDel="00000000" w:rsidP="00000000" w:rsidRDefault="00000000" w:rsidRPr="00000000" w14:paraId="00000011">
      <w:pPr>
        <w:spacing w:after="0" w:before="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Libraries: </w:t>
      </w:r>
      <w:r w:rsidDel="00000000" w:rsidR="00000000" w:rsidRPr="00000000">
        <w:rPr>
          <w:rFonts w:ascii="Times New Roman" w:cs="Times New Roman" w:eastAsia="Times New Roman" w:hAnsi="Times New Roman"/>
          <w:sz w:val="24"/>
          <w:szCs w:val="24"/>
          <w:rtl w:val="0"/>
        </w:rPr>
        <w:t xml:space="preserve">subprocess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pandas</w:t>
      </w:r>
      <w:r w:rsidDel="00000000" w:rsidR="00000000" w:rsidRPr="00000000">
        <w:rPr>
          <w:rFonts w:ascii="Times New Roman" w:cs="Times New Roman" w:eastAsia="Times New Roman" w:hAnsi="Times New Roman"/>
          <w:sz w:val="24"/>
          <w:szCs w:val="24"/>
          <w:rtl w:val="0"/>
        </w:rPr>
        <w:t xml:space="preserve"> for automation and data handling.</w:t>
      </w:r>
    </w:p>
    <w:p w:rsidR="00000000" w:rsidDel="00000000" w:rsidP="00000000" w:rsidRDefault="00000000" w:rsidRPr="00000000" w14:paraId="00000012">
      <w:pPr>
        <w:numPr>
          <w:ilvl w:val="0"/>
          <w:numId w:val="3"/>
        </w:numPr>
        <w:spacing w:after="0" w:before="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w:t>
      </w:r>
    </w:p>
    <w:p w:rsidR="00000000" w:rsidDel="00000000" w:rsidP="00000000" w:rsidRDefault="00000000" w:rsidRPr="00000000" w14:paraId="00000013">
      <w:pPr>
        <w:spacing w:after="0" w:before="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Libraries: </w:t>
      </w:r>
      <w:r w:rsidDel="00000000" w:rsidR="00000000" w:rsidRPr="00000000">
        <w:rPr>
          <w:rFonts w:ascii="Times New Roman" w:cs="Times New Roman" w:eastAsia="Times New Roman" w:hAnsi="Times New Roman"/>
          <w:sz w:val="24"/>
          <w:szCs w:val="24"/>
          <w:rtl w:val="0"/>
        </w:rPr>
        <w:t xml:space="preserve">DESeq2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tximport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clusterProfiler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ggplot2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Heatmap</w:t>
      </w:r>
    </w:p>
    <w:p w:rsidR="00000000" w:rsidDel="00000000" w:rsidP="00000000" w:rsidRDefault="00000000" w:rsidRPr="00000000" w14:paraId="00000014">
      <w:pPr>
        <w:spacing w:after="0" w:before="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15">
      <w:pPr>
        <w:numPr>
          <w:ilvl w:val="0"/>
          <w:numId w:val="1"/>
        </w:numPr>
        <w:spacing w:after="0" w:afterAutospacing="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121"/>
          <w:sz w:val="24"/>
          <w:szCs w:val="24"/>
          <w:highlight w:val="white"/>
          <w:rtl w:val="0"/>
        </w:rPr>
        <w:t xml:space="preserve">Grenko, C. M., Taylor, H. J., Bonnycastle, L. L., Xue, D., Lee, B. N., Weiss, Z., Yan, T., Swift, A. J., Mansell, E. C., Lee, A., Robertson, C. C., Narisu, N., Erdos, M. R., Chen, S., Collins, F. S., &amp; Taylor, D. L. (2024). Single-cell transcriptomic profiling of human pancreatic islets reveals genes responsive to glucose exposure over 24 h. </w:t>
      </w:r>
      <w:r w:rsidDel="00000000" w:rsidR="00000000" w:rsidRPr="00000000">
        <w:rPr>
          <w:rFonts w:ascii="Times New Roman" w:cs="Times New Roman" w:eastAsia="Times New Roman" w:hAnsi="Times New Roman"/>
          <w:i w:val="1"/>
          <w:color w:val="212121"/>
          <w:sz w:val="24"/>
          <w:szCs w:val="24"/>
          <w:highlight w:val="white"/>
          <w:rtl w:val="0"/>
        </w:rPr>
        <w:t xml:space="preserve">Diabetologia</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color w:val="212121"/>
          <w:sz w:val="24"/>
          <w:szCs w:val="24"/>
          <w:highlight w:val="white"/>
          <w:rtl w:val="0"/>
        </w:rPr>
        <w:t xml:space="preserve">67</w:t>
      </w:r>
      <w:r w:rsidDel="00000000" w:rsidR="00000000" w:rsidRPr="00000000">
        <w:rPr>
          <w:rFonts w:ascii="Times New Roman" w:cs="Times New Roman" w:eastAsia="Times New Roman" w:hAnsi="Times New Roman"/>
          <w:color w:val="212121"/>
          <w:sz w:val="24"/>
          <w:szCs w:val="24"/>
          <w:highlight w:val="white"/>
          <w:rtl w:val="0"/>
        </w:rPr>
        <w:t xml:space="preserve">(10), 2246–2259. </w:t>
      </w:r>
      <w:hyperlink r:id="rId6">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https://doi.org/10.1007/s00125-024-06214-4</w:t>
        </w:r>
      </w:hyperlink>
      <w:r w:rsidDel="00000000" w:rsidR="00000000" w:rsidRPr="00000000">
        <w:rPr>
          <w:rtl w:val="0"/>
        </w:rPr>
      </w:r>
    </w:p>
    <w:p w:rsidR="00000000" w:rsidDel="00000000" w:rsidP="00000000" w:rsidRDefault="00000000" w:rsidRPr="00000000" w14:paraId="00000016">
      <w:pPr>
        <w:numPr>
          <w:ilvl w:val="0"/>
          <w:numId w:val="1"/>
        </w:numPr>
        <w:spacing w:after="240" w:before="0" w:beforeAutospacing="0" w:line="276" w:lineRule="auto"/>
        <w:ind w:left="720" w:hanging="360"/>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Raghavan, V., Kraft, L., Mesny, F., &amp; Rigerte, L. (2022). A simple guide to de novo transcriptome assembly and annotation. </w:t>
      </w:r>
      <w:r w:rsidDel="00000000" w:rsidR="00000000" w:rsidRPr="00000000">
        <w:rPr>
          <w:rFonts w:ascii="Times New Roman" w:cs="Times New Roman" w:eastAsia="Times New Roman" w:hAnsi="Times New Roman"/>
          <w:i w:val="1"/>
          <w:color w:val="212121"/>
          <w:sz w:val="24"/>
          <w:szCs w:val="24"/>
          <w:highlight w:val="white"/>
          <w:rtl w:val="0"/>
        </w:rPr>
        <w:t xml:space="preserve">Briefings in bioinformatics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color w:val="212121"/>
          <w:sz w:val="24"/>
          <w:szCs w:val="24"/>
          <w:highlight w:val="white"/>
          <w:rtl w:val="0"/>
        </w:rPr>
        <w:t xml:space="preserve">23</w:t>
      </w:r>
      <w:r w:rsidDel="00000000" w:rsidR="00000000" w:rsidRPr="00000000">
        <w:rPr>
          <w:rFonts w:ascii="Times New Roman" w:cs="Times New Roman" w:eastAsia="Times New Roman" w:hAnsi="Times New Roman"/>
          <w:color w:val="212121"/>
          <w:sz w:val="24"/>
          <w:szCs w:val="24"/>
          <w:highlight w:val="white"/>
          <w:rtl w:val="0"/>
        </w:rPr>
        <w:t xml:space="preserve">(2), bbab563. </w:t>
      </w:r>
      <w:hyperlink r:id="rId7">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https://doi.org/10.1093/bib/bbab563</w:t>
        </w:r>
      </w:hyperlink>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1007/s00125-024-06214-4" TargetMode="External"/><Relationship Id="rId7" Type="http://schemas.openxmlformats.org/officeDocument/2006/relationships/hyperlink" Target="https://doi.org/10.1093/bib/bbab563"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