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KENTUCKY REVISED STATUTES - OPEN MEETINGS</w:t>
      </w:r>
    </w:p>
    <w:p>
      <w:pPr>
        <w:pStyle w:val="Heading2"/>
      </w:pPr>
      <w:r>
        <w:t>KRS 61.810: Public meetings must be open to the public</w:t>
      </w:r>
    </w:p>
    <w:p>
      <w:r>
        <w:t>All meetings of public agencies shall be open to the public.</w:t>
      </w:r>
    </w:p>
    <w:p>
      <w:pPr>
        <w:pStyle w:val="Heading2"/>
      </w:pPr>
      <w:r>
        <w:t>KRS 61.815: Notice Requirements</w:t>
      </w:r>
    </w:p>
    <w:p>
      <w:r>
        <w:t>Written notice must be provided at least 24 hours before special meetings.</w:t>
      </w:r>
    </w:p>
    <w:p>
      <w:pPr>
        <w:pStyle w:val="Heading2"/>
      </w:pPr>
      <w:r>
        <w:t>KRS 61.820: Executive Sessions</w:t>
      </w:r>
    </w:p>
    <w:p>
      <w:r>
        <w:t>Executive sessions are permitted only for specific purposes including:</w:t>
      </w:r>
    </w:p>
    <w:p>
      <w:pPr>
        <w:pStyle w:val="ListBullet"/>
      </w:pPr>
      <w:r>
        <w:t>- Personnel matters</w:t>
      </w:r>
    </w:p>
    <w:p>
      <w:pPr>
        <w:pStyle w:val="ListBullet"/>
      </w:pPr>
      <w:r>
        <w:t>- Pending litigation</w:t>
      </w:r>
    </w:p>
    <w:p>
      <w:pPr>
        <w:pStyle w:val="ListBullet"/>
      </w:pPr>
      <w:r>
        <w:t>- Property 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