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POLICY - MEETING PROCEDURES</w:t>
      </w:r>
    </w:p>
    <w:p>
      <w:pPr>
        <w:pStyle w:val="Heading1"/>
      </w:pPr>
      <w:r>
        <w:t>Section 1: Regular Meetings</w:t>
      </w:r>
    </w:p>
    <w:p>
      <w:r>
        <w:t>The Board shall meet on the first Tuesday of each month at 7:00 PM.</w:t>
      </w:r>
    </w:p>
    <w:p>
      <w:r>
        <w:t>All meetings must be posted 48 hours in advance.</w:t>
      </w:r>
    </w:p>
    <w:p>
      <w:pPr>
        <w:pStyle w:val="Heading1"/>
      </w:pPr>
      <w:r>
        <w:t>Section 2: Quorum Requirements</w:t>
      </w:r>
    </w:p>
    <w:p>
      <w:r>
        <w:t>A quorum consists of a majority of board members.</w:t>
      </w:r>
    </w:p>
    <w:p>
      <w:r>
        <w:t>At least 5 of 7 members must be present to conduct business.</w:t>
      </w:r>
    </w:p>
    <w:p>
      <w:pPr>
        <w:pStyle w:val="Heading1"/>
      </w:pPr>
      <w:r>
        <w:t>Section 3: Voting Procedures</w:t>
      </w:r>
    </w:p>
    <w:p>
      <w:r>
        <w:t>All votes require a simple majority to pass.</w:t>
      </w:r>
    </w:p>
    <w:p>
      <w:r>
        <w:t>The board chair votes only to break ties.</w:t>
      </w:r>
    </w:p>
    <w:p>
      <w:pPr>
        <w:pStyle w:val="Heading1"/>
      </w:pPr>
      <w:r>
        <w:t>Section 4: Public Comment</w:t>
      </w:r>
    </w:p>
    <w:p>
      <w:r>
        <w:t>Public comment is allowed for 3 minutes per speaker.</w:t>
      </w:r>
    </w:p>
    <w:p>
      <w:r>
        <w:t>Total public comment period shall not exceed 30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