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C0622A"/>
          <w:sz w:val="22"/>
          <w:szCs w:val="22"/>
        </w:rPr>
        <w:t xml:space="preserve">AUDIT REPORT</w:t>
      </w:r>
    </w:p>
    <w:p>
      <w:pPr>
        <w:spacing w:after="80"/>
      </w:pPr>
      <w:r>
        <w:rPr>
          <w:b/>
          <w:bCs/>
          <w:color w:val="1E2D4A"/>
          <w:sz w:val="56"/>
          <w:szCs w:val="56"/>
        </w:rPr>
        <w:t xml:space="preserve">Faculty Hub System</w:t>
      </w:r>
    </w:p>
    <w:p>
      <w:pPr>
        <w:spacing w:after="60"/>
      </w:pPr>
      <w:r>
        <w:rPr>
          <w:color w:val="5A6A85"/>
          <w:sz w:val="28"/>
          <w:szCs w:val="28"/>
        </w:rPr>
        <w:t xml:space="preserve">Navigation, Class Management, Bulk Import &amp; Visual Design</w:t>
      </w:r>
    </w:p>
    <w:p>
      <w:pPr>
        <w:spacing w:after="240"/>
      </w:pPr>
      <w:r>
        <w:rPr>
          <w:i/>
          <w:iCs/>
          <w:color w:val="5A6A85"/>
        </w:rPr>
        <w:t xml:space="preserve">Prepared for: </w:t>
      </w:r>
      <w:r>
        <w:rPr>
          <w:b/>
          <w:bCs/>
        </w:rPr>
        <w:t xml:space="preserve">Richie McColm</w:t>
      </w:r>
      <w:r>
        <w:rPr>
          <w:color w:val="5A6A85"/>
        </w:rPr>
        <w:t xml:space="preserve">    •    </w:t>
      </w:r>
      <w:r>
        <w:rPr>
          <w:i/>
          <w:iCs/>
          <w:color w:val="5A6A85"/>
        </w:rPr>
        <w:t xml:space="preserve">Date: </w:t>
      </w:r>
      <w:r>
        <w:t xml:space="preserve">16 May 2026</w:t>
      </w:r>
      <w:r>
        <w:rPr>
          <w:color w:val="5A6A85"/>
        </w:rPr>
        <w:t xml:space="preserve">    •    </w:t>
      </w:r>
      <w:r>
        <w:rPr>
          <w:i/>
          <w:iCs/>
          <w:color w:val="5A6A85"/>
        </w:rPr>
        <w:t xml:space="preserve">Scope: </w:t>
      </w:r>
      <w:r>
        <w:t xml:space="preserve">Read-only audit (no changes made)</w:t>
      </w:r>
    </w:p>
    <w:p>
      <w:pPr>
        <w:pBdr>
          <w:bottom w:val="single" w:color="D5DCE6" w:sz="6" w:space="1"/>
        </w:pBdr>
        <w:spacing w:after="80" w:before="80"/>
      </w:pPr>
      <w:r>
        <w:t xml:space="preserve"/>
      </w:r>
    </w:p>
    <w:p>
      <w:pPr>
        <w:pStyle w:val="Heading1"/>
        <w:spacing w:after="160" w:before="360"/>
      </w:pPr>
      <w: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D4A" w:sz="6"/>
              <w:left w:val="single" w:color="1E2D4A" w:sz="24"/>
              <w:bottom w:val="single" w:color="1E2D4A" w:sz="6"/>
              <w:right w:val="single" w:color="1E2D4A" w:sz="6"/>
            </w:tcBorders>
            <w:shd w:fill="F4F6FB" w:val="clear"/>
            <w:tcMar>
              <w:top w:type="dxa" w:w="160"/>
              <w:left w:type="dxa" w:w="220"/>
              <w:bottom w:type="dxa" w:w="160"/>
              <w:right w:type="dxa" w:w="220"/>
            </w:tcMar>
          </w:tcPr>
          <w:p>
            <w:pPr>
              <w:spacing w:after="80"/>
            </w:pPr>
            <w:r>
              <w:rPr>
                <w:b/>
                <w:bCs/>
                <w:color w:val="1E2D4A"/>
                <w:sz w:val="22"/>
                <w:szCs w:val="22"/>
              </w:rPr>
              <w:t xml:space="preserve">The headline</w:t>
            </w:r>
          </w:p>
          <w:p>
            <w:pPr>
              <w:spacing w:after="120"/>
            </w:pPr>
            <w:r>
              <w:rPr>
                <w:sz w:val="22"/>
                <w:szCs w:val="22"/>
              </w:rPr>
              <w:t xml:space="preserve">The system feels stitched together because it literally is: there are five separate navigation shells coexisting, eight near-identical sidebars hard-coded across eight files, and three different ways to reach class management — each through a different visual chrome.</w:t>
            </w:r>
          </w:p>
          <w:p>
            <w:pPr>
              <w:spacing w:after="120"/>
            </w:pPr>
            <w:r>
              <w:rPr>
                <w:sz w:val="22"/>
                <w:szCs w:val="22"/>
              </w:rPr>
              <w:t xml:space="preserve">Bulk class upload is actually already built and working in the background. It just lives three navigation layers deep, accepts only .xlsx, and is buried inside an iframe inside another page. Surfacing it properly is the single biggest UX win available.</w:t>
            </w:r>
          </w:p>
          <w:p>
            <w:pPr>
              <w:spacing w:after="120"/>
            </w:pPr>
            <w:r>
              <w:rPr>
                <w:sz w:val="22"/>
                <w:szCs w:val="22"/>
              </w:rPr>
              <w:t xml:space="preserve">The colour palette and design tokens are defined per-file, not shared, which is why every section feels like a different product.</w:t>
            </w:r>
          </w:p>
        </w:tc>
      </w:tr>
    </w:tbl>
    <w:p>
      <w:pPr>
        <w:spacing w:after="120"/>
      </w:pPr>
      <w:r>
        <w:t xml:space="preserve"/>
      </w:r>
    </w:p>
    <w:p>
      <w:pPr>
        <w:pStyle w:val="Heading2"/>
        <w:spacing w:after="120" w:before="280"/>
      </w:pPr>
      <w:r>
        <w:t xml:space="preserve">Top five priorities to address</w:t>
      </w:r>
    </w:p>
    <w:p>
      <w:pPr>
        <w:pStyle w:val="ListParagraph"/>
        <w:numPr>
          <w:ilvl w:val="0"/>
          <w:numId w:val="2"/>
        </w:numPr>
        <w:spacing w:after="60"/>
      </w:pPr>
      <w:r>
        <w:t xml:space="preserve">Consolidate navigation. Today five different navigation systems coexist; clicking a sidebar item often lands the user in a different shell entirely. One sidebar across the whole product would remove the “double-nav” feeling immediately.</w:t>
      </w:r>
    </w:p>
    <w:p>
      <w:pPr>
        <w:pStyle w:val="ListParagraph"/>
        <w:numPr>
          <w:ilvl w:val="0"/>
          <w:numId w:val="2"/>
        </w:numPr>
        <w:spacing w:after="60"/>
      </w:pPr>
      <w:r>
        <w:t xml:space="preserve">Promote bulk class import. The bulk-upload feature exists but is hidden three pages deep. Make it the primary action on a redesigned class management page — with CSV support, drag-and-drop, and per-row subject routing into the Art or Drama tracker.</w:t>
      </w:r>
    </w:p>
    <w:p>
      <w:pPr>
        <w:pStyle w:val="ListParagraph"/>
        <w:numPr>
          <w:ilvl w:val="0"/>
          <w:numId w:val="2"/>
        </w:numPr>
        <w:spacing w:after="60"/>
      </w:pPr>
      <w:r>
        <w:t xml:space="preserve">Delete the broken legacy class management page. The file class_management_hub.html contains six full HTML documents concatenated on top of each other and is dead code that's still referenced in places.</w:t>
      </w:r>
    </w:p>
    <w:p>
      <w:pPr>
        <w:pStyle w:val="ListParagraph"/>
        <w:numPr>
          <w:ilvl w:val="0"/>
          <w:numId w:val="2"/>
        </w:numPr>
        <w:spacing w:after="60"/>
      </w:pPr>
      <w:r>
        <w:t xml:space="preserve">Fix the broken links on the Faculty Head Hub. Four separate menu items (Reports &amp; Data, Users &amp; Permissions, Audit Log, Settings) all point to the staff page; another four (Class &amp; Staff, Resources Manager, etc.) all point to class uploads.</w:t>
      </w:r>
    </w:p>
    <w:p>
      <w:pPr>
        <w:pStyle w:val="ListParagraph"/>
        <w:numPr>
          <w:ilvl w:val="0"/>
          <w:numId w:val="2"/>
        </w:numPr>
        <w:spacing w:after="60"/>
      </w:pPr>
      <w:r>
        <w:t xml:space="preserve">Establish one shared design system. Move colours, fonts, buttons, cards and tables into one stylesheet so the trackers, the main hub, and the admin pages all look like the same product.</w:t>
      </w:r>
    </w:p>
    <w:p>
      <w:r>
        <w:br w:type="page"/>
      </w:r>
    </w:p>
    <w:p>
      <w:pPr>
        <w:pStyle w:val="Heading1"/>
        <w:spacing w:after="160" w:before="360"/>
      </w:pPr>
      <w:r>
        <w:t xml:space="preserve">Scope and method</w:t>
      </w:r>
    </w:p>
    <w:p>
      <w:pPr>
        <w:spacing w:after="120"/>
      </w:pPr>
      <w:r>
        <w:t xml:space="preserve">This audit reviews the on-disk source of the Faculty Hub system in the workspace folder Curriculum Design and Report Builder, focusing on the four areas you raised: the overall feel of the system, the class management hub, the bulk class upload requirement for the Art and Drama trackers, and the navigation/visual stitching issues.</w:t>
      </w:r>
    </w:p>
    <w:p>
      <w:pPr>
        <w:spacing w:after="120"/>
      </w:pPr>
      <w:r>
        <w:t xml:space="preserve">Every finding below is grounded in a specific file and, where useful, a line range or code excerpt. No files were modified — you asked for an audit, not changes.</w:t>
      </w:r>
    </w:p>
    <w:p>
      <w:pPr>
        <w:pStyle w:val="Heading3"/>
        <w:spacing w:after="80" w:before="200"/>
      </w:pPr>
      <w:r>
        <w:t xml:space="preserve">Files reviewed in depth</w:t>
      </w:r>
    </w:p>
    <w:p>
      <w:pPr>
        <w:pStyle w:val="ListParagraph"/>
        <w:numPr>
          <w:ilvl w:val="0"/>
          <w:numId w:val="3"/>
        </w:numPr>
        <w:spacing w:after="60"/>
      </w:pPr>
      <w:r>
        <w:t xml:space="preserve">Shell and main entry points: index.html, faculty-hub.html, faculty_dashboard.html, faculty_head_hub.html, login.html</w:t>
      </w:r>
    </w:p>
    <w:p>
      <w:pPr>
        <w:pStyle w:val="ListParagraph"/>
        <w:numPr>
          <w:ilvl w:val="0"/>
          <w:numId w:val="3"/>
        </w:numPr>
        <w:spacing w:after="60"/>
      </w:pPr>
      <w:r>
        <w:t xml:space="preserve">Faculty Head section pages: fh_announcements.html, fh_staff.html, fh_department_meetings.html, fh_procurement.html, fh_tracking.html, fh_calendar.html, fh_class_management.html, plus fh-shell.css and fh-shell.js</w:t>
      </w:r>
    </w:p>
    <w:p>
      <w:pPr>
        <w:pStyle w:val="ListParagraph"/>
        <w:numPr>
          <w:ilvl w:val="0"/>
          <w:numId w:val="3"/>
        </w:numPr>
        <w:spacing w:after="60"/>
      </w:pPr>
      <w:r>
        <w:t xml:space="preserve">Class management: class_management_hub.html, class_management_hub_v2.html, class_management_hub_v2_app.js, embed-chrome.js</w:t>
      </w:r>
    </w:p>
    <w:p>
      <w:pPr>
        <w:pStyle w:val="ListParagraph"/>
        <w:numPr>
          <w:ilvl w:val="0"/>
          <w:numId w:val="3"/>
        </w:numPr>
        <w:spacing w:after="60"/>
      </w:pPr>
      <w:r>
        <w:t xml:space="preserve">Trackers: art-tracker.html, drama-tracker-v2 (5).html, tracking_monitoring_hub.html</w:t>
      </w:r>
    </w:p>
    <w:p>
      <w:pPr>
        <w:pStyle w:val="ListParagraph"/>
        <w:numPr>
          <w:ilvl w:val="0"/>
          <w:numId w:val="3"/>
        </w:numPr>
        <w:spacing w:after="60"/>
      </w:pPr>
      <w:r>
        <w:t xml:space="preserve">Data plumbing: data-service.js, supabase-init.js, recent migrations (school_management_phase1, tracking_monitoring_visibility, faculty_head_management_parity, teacher_subject_class_loader)</w:t>
      </w:r>
    </w:p>
    <w:p>
      <w:r>
        <w:br w:type="page"/>
      </w:r>
    </w:p>
    <w:p>
      <w:pPr>
        <w:pStyle w:val="Heading1"/>
        <w:spacing w:after="160" w:before="360"/>
      </w:pPr>
      <w:r>
        <w:t xml:space="preserve">1. Why the system feels “stitched together”</w:t>
      </w:r>
    </w:p>
    <w:p>
      <w:pPr>
        <w:spacing w:after="120"/>
      </w:pPr>
      <w:r>
        <w:t xml:space="preserve">The “stitched” feeling has a concrete technical cause: there is no single shell. The product is currently built as a constellation of standalone HTML pages, each with its own navigation, colours, fonts, and chrome. When you click an item in one shell, you often land in a completely different one.</w:t>
      </w:r>
    </w:p>
    <w:p>
      <w:pPr>
        <w:pStyle w:val="Heading2"/>
        <w:spacing w:after="120" w:before="280"/>
      </w:pPr>
      <w:r>
        <w:t xml:space="preserve">1.1  There are five different navigation shells</w:t>
      </w:r>
    </w:p>
    <w:p>
      <w:pPr>
        <w:spacing w:after="120"/>
      </w:pPr>
      <w:r>
        <w:t xml:space="preserve">Each of the following is implemented separately, with its own markup, classes, colours and fonts: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Area</w:t>
            </w:r>
          </w:p>
        </w:tc>
        <w:tc>
          <w:tcPr>
            <w:tcW w:type="dxa" w:w="14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Severity</w:t>
            </w:r>
          </w:p>
        </w:tc>
        <w:tc>
          <w:tcPr>
            <w:tcW w:type="dxa" w:w="47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Why it matters</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Main Faculty Hub (faculty-hub.html)</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91C1C"/>
              </w:rPr>
              <w:t xml:space="preserve">High</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The primary shell. Navy sidebar, General Sans + Inter fonts, uses class names like .sidebar / .sidebar-item.</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Faculty Head Admin Hub (faculty_head_hub.html)</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91C1C"/>
              </w:rPr>
              <w:t xml:space="preserve">High</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A completely different design — purple gradient sidebar, drop shadows, .nav-link class names. Looks like a different product.</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FH section pages (the fh_*.html group, 8 files)</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91C1C"/>
              </w:rPr>
              <w:t xml:space="preserve">High</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Each file hard-codes the same 12-line .fh-sidebar block. Any edit must be repeated in 8 files.</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Tracker pages (art-tracker, drama-tracker-v2)</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45309"/>
              </w:rPr>
              <w:t xml:space="preserve">Medium</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Use DM Sans + Sora fonts and .sb-item class names — a visibly different typographic system from the rest of the product.</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Tracking &amp; Monitoring hub</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45309"/>
              </w:rPr>
              <w:t xml:space="preserve">Medium</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Yet another set of class names (.dash-sidebar / .dash-nav-btn) and Inter-only typography.</w:t>
            </w:r>
          </w:p>
        </w:tc>
      </w:tr>
    </w:tbl>
    <w:p>
      <w:pPr>
        <w:pStyle w:val="Heading2"/>
        <w:spacing w:after="120" w:before="280"/>
      </w:pPr>
      <w:r>
        <w:t xml:space="preserve">1.2  The “clicking the sidebar opens another sidebar” problem — exactly what's happening</w:t>
      </w:r>
    </w:p>
    <w:p>
      <w:pPr>
        <w:spacing w:after="120"/>
      </w:pPr>
      <w:r>
        <w:t xml:space="preserve">You reported that clicking a sidebar item sometimes “opens another navigation bar in other parts of it.” That is literally what is happening, and there are at least three different mechanisms causing it.</w:t>
      </w:r>
    </w:p>
    <w:p>
      <w:pPr>
        <w:pStyle w:val="Heading3"/>
        <w:spacing w:after="80" w:before="200"/>
      </w:pPr>
      <w:r>
        <w:t xml:space="preserve">Mechanism A — Sidebar items that are actually full-page links</w:t>
      </w:r>
    </w:p>
    <w:p>
      <w:pPr>
        <w:spacing w:after="120"/>
      </w:pPr>
      <w:r>
        <w:t xml:space="preserve">In faculty-hub.html most sidebar items are &lt;button&gt; elements that swap an inner panel, but a few are &lt;a href=...&gt; tags that replace the whole document and load a different page — with its own sidebar. The user can't visually tell them apart.</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faculty-hub.html line 1789</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&lt;a class="sidebar-item" href="faculty_head_hub.html"&gt;…&lt;/a&gt;</w:t>
      </w:r>
    </w:p>
    <w:p>
      <w:pPr>
        <w:spacing w:after="120"/>
      </w:pPr>
      <w:r>
        <w:t xml:space="preserve">Result: clicking it leaves the navy main hub and lands the user in the purple Faculty Head Hub. Two products, one click apart, no warning.</w:t>
      </w:r>
    </w:p>
    <w:p>
      <w:pPr>
        <w:pStyle w:val="Heading3"/>
        <w:spacing w:after="80" w:before="200"/>
      </w:pPr>
      <w:r>
        <w:t xml:space="preserve">Mechanism B — Pages embedded inside pages inside pages</w:t>
      </w:r>
    </w:p>
    <w:p>
      <w:pPr>
        <w:spacing w:after="120"/>
      </w:pPr>
      <w:r>
        <w:t xml:space="preserve">Opening Class Management is a particularly bad example of triple-stacking:</w:t>
      </w:r>
    </w:p>
    <w:p>
      <w:pPr>
        <w:pStyle w:val="ListParagraph"/>
        <w:numPr>
          <w:ilvl w:val="0"/>
          <w:numId w:val="2"/>
        </w:numPr>
        <w:spacing w:after="60"/>
      </w:pPr>
      <w:r>
        <w:t xml:space="preserve">Main shell sidebar (navy).</w:t>
      </w:r>
    </w:p>
    <w:p>
      <w:pPr>
        <w:pStyle w:val="ListParagraph"/>
        <w:numPr>
          <w:ilvl w:val="0"/>
          <w:numId w:val="2"/>
        </w:numPr>
        <w:spacing w:after="60"/>
      </w:pPr>
      <w:r>
        <w:t xml:space="preserve">Click “Class Management” → navigate to fh_class_management.html which has its own .fh-sidebar plus a topbar reading “Class Uploads.”</w:t>
      </w:r>
    </w:p>
    <w:p>
      <w:pPr>
        <w:pStyle w:val="ListParagraph"/>
        <w:numPr>
          <w:ilvl w:val="0"/>
          <w:numId w:val="2"/>
        </w:numPr>
        <w:spacing w:after="60"/>
      </w:pPr>
      <w:r>
        <w:t xml:space="preserve">Inside that page sits &lt;iframe src="class_management_hub_v2.html?embed=1"&gt; which is itself a JS-rendered single-page app with its own navy gradient hero titled “Class Management.”</w:t>
      </w:r>
    </w:p>
    <w:p>
      <w:pPr>
        <w:spacing w:after="120"/>
      </w:pPr>
      <w:r>
        <w:t xml:space="preserve">That's three headers, two sidebars, and three different colour systems within one workflow. No wonder it feels heavy.</w:t>
      </w:r>
    </w:p>
    <w:p>
      <w:pPr>
        <w:pStyle w:val="Heading3"/>
        <w:spacing w:after="80" w:before="200"/>
      </w:pPr>
      <w:r>
        <w:t xml:space="preserve">Mechanism C — An incomplete embed-suppression script</w:t>
      </w:r>
    </w:p>
    <w:p>
      <w:pPr>
        <w:spacing w:after="120"/>
      </w:pPr>
      <w:r>
        <w:t xml:space="preserve">embed-chrome.js exists specifically to hide the inner page's chrome when it's loaded inside another page. It hides .sidebar, .dash-sidebar, .site-header, .planner-nav and a few others — but it does NOT know about .fh-sidebar. So whenever an fh_*.html page is loaded inside the main shell, its sidebar appears alongside the main one.</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embed-chrome.js, lines 24–42  — the rules that hide chrome:</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html[data-fh-embed="1"] .sidebar { display: none !important }
html[data-fh-embed="1"] .dash-sidebar { display: none !important }
/* No rule for .fh-sidebar */</w:t>
      </w:r>
    </w:p>
    <w:p>
      <w:pPr>
        <w:pStyle w:val="Heading2"/>
        <w:spacing w:after="120" w:before="280"/>
      </w:pPr>
      <w:r>
        <w:t xml:space="preserve">1.3  Broken / duplicate links on the Faculty Head Hub</w:t>
      </w:r>
    </w:p>
    <w:p>
      <w:pPr>
        <w:spacing w:after="120"/>
      </w:pPr>
      <w:r>
        <w:t xml:space="preserve">faculty_head_hub.html has eight menu items routed to just two destinations:</w:t>
      </w:r>
    </w:p>
    <w:p>
      <w:pPr>
        <w:pStyle w:val="ListParagraph"/>
        <w:numPr>
          <w:ilvl w:val="0"/>
          <w:numId w:val="3"/>
        </w:numPr>
        <w:spacing w:after="60"/>
      </w:pPr>
      <w:r>
        <w:t xml:space="preserve">Class &amp; Staff, Resources Manager, Upload Resource → all link to fh_class_management.html</w:t>
      </w:r>
    </w:p>
    <w:p>
      <w:pPr>
        <w:pStyle w:val="ListParagraph"/>
        <w:numPr>
          <w:ilvl w:val="0"/>
          <w:numId w:val="3"/>
        </w:numPr>
        <w:spacing w:after="60"/>
      </w:pPr>
      <w:r>
        <w:t xml:space="preserve">Reports &amp; Data, Users &amp; Permissions, Audit Log, Settings → all link to fh_staff.html</w:t>
      </w:r>
    </w:p>
    <w:p>
      <w:pPr>
        <w:pStyle w:val="ListParagraph"/>
        <w:numPr>
          <w:ilvl w:val="0"/>
          <w:numId w:val="3"/>
        </w:numPr>
        <w:spacing w:after="60"/>
      </w:pPr>
      <w:r>
        <w:t xml:space="preserve">Improvement Plan, Class Visits, Quality Calendar, Department Targets → each links to faculty-hub.html?panel=…, which yanks the user out of the admin hub and back into the main shell</w:t>
      </w:r>
    </w:p>
    <w:p>
      <w:pPr>
        <w:spacing w:after="120"/>
      </w:pPr>
      <w:r>
        <w:t xml:space="preserve">This single page has more dead or duplicate links than working ones. Clicking “Audit Log” expecting an audit log, for example, lands the user on the staff data page.</w:t>
      </w:r>
    </w:p>
    <w:p>
      <w:pPr>
        <w:pStyle w:val="Heading2"/>
        <w:spacing w:after="120" w:before="280"/>
      </w:pPr>
      <w:r>
        <w:t xml:space="preserve">1.4  Same destination, three different doorways</w:t>
      </w:r>
    </w:p>
    <w:p>
      <w:pPr>
        <w:spacing w:after="120"/>
      </w:pPr>
      <w:r>
        <w:t xml:space="preserve">Class Management can be reached from three different places, and each shows it at a different visual depth:</w:t>
      </w:r>
    </w:p>
    <w:p>
      <w:pPr>
        <w:pStyle w:val="ListParagraph"/>
        <w:numPr>
          <w:ilvl w:val="0"/>
          <w:numId w:val="3"/>
        </w:numPr>
        <w:spacing w:after="60"/>
      </w:pPr>
      <w:r>
        <w:t xml:space="preserve">Main hub sidebar admin section → fh_class_management.html (jumps shells)</w:t>
      </w:r>
    </w:p>
    <w:p>
      <w:pPr>
        <w:pStyle w:val="ListParagraph"/>
        <w:numPr>
          <w:ilvl w:val="0"/>
          <w:numId w:val="3"/>
        </w:numPr>
        <w:spacing w:after="60"/>
      </w:pPr>
      <w:r>
        <w:t xml:space="preserve">Main hub sidebar via #embed-class-management panel → inline iframe (sidebar stays)</w:t>
      </w:r>
    </w:p>
    <w:p>
      <w:pPr>
        <w:pStyle w:val="ListParagraph"/>
        <w:numPr>
          <w:ilvl w:val="0"/>
          <w:numId w:val="3"/>
        </w:numPr>
        <w:spacing w:after="60"/>
      </w:pPr>
      <w:r>
        <w:t xml:space="preserve">Faculty Head Hub sidebar + three action cards → fh_class_management.html (different shell)</w:t>
      </w:r>
    </w:p>
    <w:p>
      <w:pPr>
        <w:spacing w:after="120"/>
      </w:pPr>
      <w:r>
        <w:t xml:space="preserve">There is no single canonical route, which is part of why the layout feels inconsistent each time you reach the page.</w:t>
      </w:r>
    </w:p>
    <w:p>
      <w:r>
        <w:br w:type="page"/>
      </w:r>
    </w:p>
    <w:p>
      <w:pPr>
        <w:pStyle w:val="Heading1"/>
        <w:spacing w:after="160" w:before="360"/>
      </w:pPr>
      <w:r>
        <w:t xml:space="preserve">2. Class Management Hub — detailed audit</w:t>
      </w:r>
    </w:p>
    <w:p>
      <w:pPr>
        <w:spacing w:after="120"/>
      </w:pPr>
      <w:r>
        <w:t xml:space="preserve">You called this out as the worst offender. The audit confirms it. The clutter here is the combined effect of three problems: a broken legacy file still in the repo, a live v2 page buried under two layers of chrome, and a UI that exposes three different ways to add classes without making any of them clearly primary.</w:t>
      </w:r>
    </w:p>
    <w:p>
      <w:pPr>
        <w:pStyle w:val="Heading2"/>
        <w:spacing w:after="120" w:before="280"/>
      </w:pPr>
      <w:r>
        <w:t xml:space="preserve">2.1  Two versions exist; one is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Area</w:t>
            </w:r>
          </w:p>
        </w:tc>
        <w:tc>
          <w:tcPr>
            <w:tcW w:type="dxa" w:w="14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Severity</w:t>
            </w:r>
          </w:p>
        </w:tc>
        <w:tc>
          <w:tcPr>
            <w:tcW w:type="dxa" w:w="47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Why it matters</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class_management_hub.html</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91C1C"/>
              </w:rPr>
              <w:t xml:space="preserve">High</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Broken legacy file. It contains six full HTML documents stacked on top of each other (six &lt;!DOCTYPE html&gt; declarations, 6,293 lines). Only the first 25-line stub is parsed by the browser, and it references a non-existent JS file. Almost certainly file-merge corruption. Should be deleted.</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class_management_hub_v2.html</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45309"/>
              </w:rPr>
              <w:t xml:space="preserve">Medium</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The live page. A 26-line shell whose body is generated by class_management_hub_v2_app.js. All styles are inlined inside the JS file, which means the page cannot be themed alongside the rest of the system and cannot be styled by embed-chrome.js.</w:t>
            </w:r>
          </w:p>
        </w:tc>
      </w:tr>
    </w:tbl>
    <w:p>
      <w:pPr>
        <w:pStyle w:val="Heading2"/>
        <w:spacing w:after="120" w:before="280"/>
      </w:pPr>
      <w:r>
        <w:t xml:space="preserve">2.2  Why the current page feels clunky</w:t>
      </w:r>
    </w:p>
    <w:p>
      <w:pPr>
        <w:pStyle w:val="ListParagraph"/>
        <w:numPr>
          <w:ilvl w:val="0"/>
          <w:numId w:val="3"/>
        </w:numPr>
        <w:spacing w:after="60"/>
      </w:pPr>
      <w:r>
        <w:rPr>
          <w:b/>
          <w:bCs/>
        </w:rPr>
        <w:t xml:space="preserve">Three competing paths to add classes. </w:t>
      </w:r>
      <w:r>
        <w:t xml:space="preserve">The page exposes: a per-row spreadsheet-style editor, a “paste class names line by line” textarea, and a separate Excel import card lower down. None of them is the obvious primary action, so users hesitate.</w:t>
      </w:r>
    </w:p>
    <w:p>
      <w:pPr>
        <w:pStyle w:val="ListParagraph"/>
        <w:numPr>
          <w:ilvl w:val="0"/>
          <w:numId w:val="3"/>
        </w:numPr>
        <w:spacing w:after="60"/>
      </w:pPr>
      <w:r>
        <w:rPr>
          <w:b/>
          <w:bCs/>
        </w:rPr>
        <w:t xml:space="preserve">Buried inside two layers of chrome. </w:t>
      </w:r>
      <w:r>
        <w:t xml:space="preserve">It loads inside an iframe inside fh_class_management.html, which itself sits inside the .fh-sidebar shell. That's three competing headers in 700 vertical pixels.</w:t>
      </w:r>
    </w:p>
    <w:p>
      <w:pPr>
        <w:pStyle w:val="ListParagraph"/>
        <w:numPr>
          <w:ilvl w:val="0"/>
          <w:numId w:val="3"/>
        </w:numPr>
        <w:spacing w:after="60"/>
      </w:pPr>
      <w:r>
        <w:rPr>
          <w:b/>
          <w:bCs/>
        </w:rPr>
        <w:t xml:space="preserve">Excel-only, no CSV. </w:t>
      </w:r>
      <w:r>
        <w:t xml:space="preserve">The parser strictly rejects anything that isn't .xlsx (class_management_hub_v2_app.js line 738). Many teachers will produce a Google Sheet or .csv first.</w:t>
      </w:r>
    </w:p>
    <w:p>
      <w:pPr>
        <w:pStyle w:val="ListParagraph"/>
        <w:numPr>
          <w:ilvl w:val="0"/>
          <w:numId w:val="3"/>
        </w:numPr>
        <w:spacing w:after="60"/>
      </w:pPr>
      <w:r>
        <w:rPr>
          <w:b/>
          <w:bCs/>
        </w:rPr>
        <w:t xml:space="preserve">All-or-nothing teacher matching. </w:t>
      </w:r>
      <w:r>
        <w:t xml:space="preserve">Bulk import requires the spreadsheet's teacher_email cells to exactly match staff emails. If they don't, the user gets a list of warnings but no inline way to fix them — they have to leave, edit the file, and try again.</w:t>
      </w:r>
    </w:p>
    <w:p>
      <w:pPr>
        <w:pStyle w:val="ListParagraph"/>
        <w:numPr>
          <w:ilvl w:val="0"/>
          <w:numId w:val="3"/>
        </w:numPr>
        <w:spacing w:after="60"/>
      </w:pPr>
      <w:r>
        <w:rPr>
          <w:b/>
          <w:bCs/>
        </w:rPr>
        <w:t xml:space="preserve">Visually flat. </w:t>
      </w:r>
      <w:r>
        <w:t xml:space="preserve">Inlined CSS in the JS file (lines 72–136) gives a plain grey-blue background, a single navy hero, no subject colour-coding, no per-row badges, no live counts in section headers. Just a stack of grey cards.</w:t>
      </w:r>
    </w:p>
    <w:p>
      <w:pPr>
        <w:pStyle w:val="ListParagraph"/>
        <w:numPr>
          <w:ilvl w:val="0"/>
          <w:numId w:val="3"/>
        </w:numPr>
        <w:spacing w:after="60"/>
      </w:pPr>
      <w:r>
        <w:rPr>
          <w:b/>
          <w:bCs/>
        </w:rPr>
        <w:t xml:space="preserve">Tiny, dense tables. </w:t>
      </w:r>
      <w:r>
        <w:t xml:space="preserve">Row padding is 0.42rem with an 11–12px font, which compounds the cluttered feel.</w:t>
      </w:r>
    </w:p>
    <w:p>
      <w:pPr>
        <w:pStyle w:val="Heading2"/>
        <w:spacing w:after="120" w:before="280"/>
      </w:pPr>
      <w:r>
        <w:t xml:space="preserve">2.3  What's actually good (and worth keeping)</w:t>
      </w:r>
    </w:p>
    <w:p>
      <w:pPr>
        <w:spacing w:after="120"/>
      </w:pPr>
      <w:r>
        <w:t xml:space="preserve">The data layer behind class management is in much better shape than the UI suggests, and is worth preserving:</w:t>
      </w:r>
    </w:p>
    <w:p>
      <w:pPr>
        <w:pStyle w:val="ListParagraph"/>
        <w:numPr>
          <w:ilvl w:val="0"/>
          <w:numId w:val="3"/>
        </w:numPr>
        <w:spacing w:after="60"/>
      </w:pPr>
      <w:r>
        <w:t xml:space="preserve">A bulk Excel import flow exists and is wired through to a Supabase RPC. The plumbing (data-service.js lines 677–747 and the RPC bulk_upsert_pupils_and_enrollments) works end-to-end.</w:t>
      </w:r>
    </w:p>
    <w:p>
      <w:pPr>
        <w:pStyle w:val="ListParagraph"/>
        <w:numPr>
          <w:ilvl w:val="0"/>
          <w:numId w:val="3"/>
        </w:numPr>
        <w:spacing w:after="60"/>
      </w:pPr>
      <w:r>
        <w:t xml:space="preserve">Class rows are linked to teacher email and subject in the DB schema (migration 20260510090000_school_management_phase1.sql, columns on public.classes).</w:t>
      </w:r>
    </w:p>
    <w:p>
      <w:pPr>
        <w:pStyle w:val="ListParagraph"/>
        <w:numPr>
          <w:ilvl w:val="0"/>
          <w:numId w:val="3"/>
        </w:numPr>
        <w:spacing w:after="60"/>
      </w:pPr>
      <w:r>
        <w:t xml:space="preserve">The trackers self-filter by subject when they load, so a single uploaded file with mixed rows can populate both trackers automatically.</w:t>
      </w:r>
    </w:p>
    <w:p>
      <w:r>
        <w:br w:type="page"/>
      </w:r>
    </w:p>
    <w:p>
      <w:pPr>
        <w:pStyle w:val="Heading1"/>
        <w:spacing w:after="160" w:before="360"/>
      </w:pPr>
      <w:r>
        <w:t xml:space="preserve">3. Bulk class upload — it already exists; here's how it could feel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6534" w:sz="6"/>
              <w:left w:val="single" w:color="166534" w:sz="24"/>
              <w:bottom w:val="single" w:color="166534" w:sz="6"/>
              <w:right w:val="single" w:color="166534" w:sz="6"/>
            </w:tcBorders>
            <w:shd w:fill="F1F8F4" w:val="clear"/>
            <w:tcMar>
              <w:top w:type="dxa" w:w="160"/>
              <w:left w:type="dxa" w:w="220"/>
              <w:bottom w:type="dxa" w:w="160"/>
              <w:right w:type="dxa" w:w="220"/>
            </w:tcMar>
          </w:tcPr>
          <w:p>
            <w:pPr>
              <w:spacing w:after="80"/>
            </w:pPr>
            <w:r>
              <w:rPr>
                <w:b/>
                <w:bCs/>
                <w:color w:val="166534"/>
                <w:sz w:val="22"/>
                <w:szCs w:val="22"/>
              </w:rPr>
              <w:t xml:space="preserve">Good news</w:t>
            </w:r>
          </w:p>
          <w:p>
            <w:pPr>
              <w:spacing w:after="120"/>
            </w:pPr>
            <w:r>
              <w:t xml:space="preserve">Bulk class upload is already implemented in class_management_hub_v2_app.js (lines 661–846). It accepts an .xlsx file with these columns:</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subject, year_level, class_name, teacher_email, [class_code], [pupil_name], [teacher_name]</w:t>
            </w:r>
          </w:p>
          <w:p>
            <w:pPr>
              <w:spacing w:after="120"/>
            </w:pPr>
            <w:r>
              <w:t xml:space="preserve">It calls the Supabase RPC bulk_upsert_pupils_and_enrollments. Routing to the Art or Drama tracker is automatic, because each row carries its own subject value (art / drama / photography). One upload can populate both trackers in a single pass.</w:t>
            </w:r>
          </w:p>
          <w:p>
            <w:pPr>
              <w:spacing w:after="120"/>
            </w:pPr>
            <w:r>
              <w:rPr>
                <w:b/>
                <w:bCs/>
              </w:rPr>
              <w:t xml:space="preserve">The work needed is not engineering net-new; it's surfacing, polishing, and broadening this flow.</w:t>
            </w:r>
          </w:p>
        </w:tc>
      </w:tr>
    </w:tbl>
    <w:p>
      <w:pPr>
        <w:spacing w:after="120"/>
      </w:pPr>
      <w:r>
        <w:t xml:space="preserve"/>
      </w:r>
    </w:p>
    <w:p>
      <w:pPr>
        <w:pStyle w:val="Heading2"/>
        <w:spacing w:after="120" w:before="280"/>
      </w:pPr>
      <w:r>
        <w:t xml:space="preserve">3.1  How tracker routing currently works</w:t>
      </w:r>
    </w:p>
    <w:p>
      <w:pPr>
        <w:spacing w:after="120"/>
      </w:pPr>
      <w:r>
        <w:t xml:space="preserve">Each tracker page filters its own data on load:</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art-tracker.html line 833
  DataService.listMyAssignedClassesForTracker({ subject: 'art',   academicYearLabel })</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drama-tracker-v2 (5).html line 807
  DataService.listMyAssignedClassesForTracker({ subject: 'drama', academicYearLabel })</w:t>
      </w:r>
    </w:p>
    <w:p>
      <w:pPr>
        <w:spacing w:after="120"/>
      </w:pPr>
      <w:r>
        <w:t xml:space="preserve">So routing is data-driven, not folder-driven. As long as each row in the upload has the correct subject value, the Art teacher sees only Art classes and the Drama teacher sees only Drama classes. There is no teacher→subject lookup table needed.</w:t>
      </w:r>
    </w:p>
    <w:p>
      <w:pPr>
        <w:pStyle w:val="Heading2"/>
        <w:spacing w:after="120" w:before="280"/>
      </w:pPr>
      <w:r>
        <w:t xml:space="preserve">3.2  Recommended bulk-upload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Issue today</w:t>
            </w:r>
          </w:p>
        </w:tc>
        <w:tc>
          <w:tcPr>
            <w:tcW w:type="dxa" w:w="468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Recommended direction</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Hidden under three layers of chrome</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First-class action on a redesigned Class Management page — a single, obvious “Upload Classes” button in the header</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.xlsx only, strict file extension check</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Accept .xlsx and .csv; drag-and-drop or browse; show file name + size before parsing</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Required columns implicit (template only)</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Visible column reference panel next to the upload, with copy-to-clipboard headers</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Teacher-email mismatches surface as a warning list only</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Inline cell-by-cell editor for unmatched teachers, with a suggested closest match (fuzzy)</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No preview before save</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Two-step flow: parse → show preview table with row-level status (new / update / conflict / skip) → confirm → commit</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Single “Excel template” button</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Two templates: a class-only template, and a class-plus-pupils template, both downloadable as .xlsx and .csv</w:t>
            </w:r>
          </w:p>
        </w:tc>
      </w:tr>
      <w:tr>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No feedback on routing</w:t>
            </w:r>
          </w:p>
        </w:tc>
        <w:tc>
          <w:tcPr>
            <w:tcW w:type="dxa" w:w="468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Post-upload summary: “12 rows routed to the Art Tracker, 9 rows routed to the Drama Tracker” with a link to each</w:t>
            </w:r>
          </w:p>
        </w:tc>
      </w:tr>
    </w:tbl>
    <w:p>
      <w:pPr>
        <w:pStyle w:val="Heading2"/>
        <w:spacing w:after="120" w:before="280"/>
      </w:pPr>
      <w:r>
        <w:t xml:space="preserve">3.3  Suggested CSV schema (no schema changes needed)</w:t>
      </w:r>
    </w:p>
    <w:p>
      <w:pPr>
        <w:spacing w:after="120"/>
      </w:pPr>
      <w:r>
        <w:t xml:space="preserve">The existing parser already accepts these columns. Documenting them clearly on the page — next to the upload zone — removes most of the friction.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Column</w:t>
            </w:r>
          </w:p>
        </w:tc>
        <w:tc>
          <w:tcPr>
            <w:tcW w:type="dxa" w:w="12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Required</w:t>
            </w:r>
          </w:p>
        </w:tc>
        <w:tc>
          <w:tcPr>
            <w:tcW w:type="dxa" w:w="55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Notes</w:t>
            </w:r>
          </w:p>
        </w:tc>
      </w:tr>
      <w:tr>
        <w:tc>
          <w:tcPr>
            <w:tcW w:type="dxa" w:w="2600"/>
            <w:tcBorders>
              <w:top w:val="single" w:color="D5DCE6" w:sz="6"/>
              <w:left w:val="single" w:color="D5DCE6" w:sz="6"/>
              <w:bottom w:val="single" w:color="D5DCE6" w:sz="6"/>
              <w:right w:val="single" w:color="D5DCE6" w:sz="6"/>
            </w:tcBorders>
            <w:tcMar>
              <w:top w:type="dxa" w:w="90"/>
              <w:left w:type="dxa" w:w="140"/>
              <w:bottom w:type="dxa" w:w="90"/>
              <w:right w:type="dxa" w:w="140"/>
            </w:tcMar>
          </w:tcPr>
          <w:p>
            <w:r>
              <w:rPr>
                <w:rFonts w:ascii="Consolas" w:cs="Consolas" w:eastAsia="Consolas" w:hAnsi="Consolas"/>
              </w:rPr>
              <w:t xml:space="preserve">subject</w:t>
            </w:r>
          </w:p>
        </w:tc>
        <w:tc>
          <w:tcPr>
            <w:tcW w:type="dxa" w:w="120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Yes</w:t>
            </w:r>
          </w:p>
        </w:tc>
        <w:tc>
          <w:tcPr>
            <w:tcW w:type="dxa" w:w="556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Accepts art, art &amp; design, drama, photo, photography. Determines which tracker the row routes to.</w:t>
            </w:r>
          </w:p>
        </w:tc>
      </w:tr>
      <w:tr>
        <w:tc>
          <w:tcPr>
            <w:tcW w:type="dxa" w:w="260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rPr>
                <w:rFonts w:ascii="Consolas" w:cs="Consolas" w:eastAsia="Consolas" w:hAnsi="Consolas"/>
              </w:rPr>
              <w:t xml:space="preserve">year_level</w:t>
            </w:r>
          </w:p>
        </w:tc>
        <w:tc>
          <w:tcPr>
            <w:tcW w:type="dxa" w:w="120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t xml:space="preserve">Yes</w:t>
            </w:r>
          </w:p>
        </w:tc>
        <w:tc>
          <w:tcPr>
            <w:tcW w:type="dxa" w:w="556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t xml:space="preserve">S1 through S6.</w:t>
            </w:r>
          </w:p>
        </w:tc>
      </w:tr>
      <w:tr>
        <w:tc>
          <w:tcPr>
            <w:tcW w:type="dxa" w:w="2600"/>
            <w:tcBorders>
              <w:top w:val="single" w:color="D5DCE6" w:sz="6"/>
              <w:left w:val="single" w:color="D5DCE6" w:sz="6"/>
              <w:bottom w:val="single" w:color="D5DCE6" w:sz="6"/>
              <w:right w:val="single" w:color="D5DCE6" w:sz="6"/>
            </w:tcBorders>
            <w:tcMar>
              <w:top w:type="dxa" w:w="90"/>
              <w:left w:type="dxa" w:w="140"/>
              <w:bottom w:type="dxa" w:w="90"/>
              <w:right w:type="dxa" w:w="140"/>
            </w:tcMar>
          </w:tcPr>
          <w:p>
            <w:r>
              <w:rPr>
                <w:rFonts w:ascii="Consolas" w:cs="Consolas" w:eastAsia="Consolas" w:hAnsi="Consolas"/>
              </w:rPr>
              <w:t xml:space="preserve">class_name</w:t>
            </w:r>
          </w:p>
        </w:tc>
        <w:tc>
          <w:tcPr>
            <w:tcW w:type="dxa" w:w="120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Yes</w:t>
            </w:r>
          </w:p>
        </w:tc>
        <w:tc>
          <w:tcPr>
            <w:tcW w:type="dxa" w:w="556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Free text, e.g. S1 Drama A.</w:t>
            </w:r>
          </w:p>
        </w:tc>
      </w:tr>
      <w:tr>
        <w:tc>
          <w:tcPr>
            <w:tcW w:type="dxa" w:w="260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rPr>
                <w:rFonts w:ascii="Consolas" w:cs="Consolas" w:eastAsia="Consolas" w:hAnsi="Consolas"/>
              </w:rPr>
              <w:t xml:space="preserve">teacher_email</w:t>
            </w:r>
          </w:p>
        </w:tc>
        <w:tc>
          <w:tcPr>
            <w:tcW w:type="dxa" w:w="120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t xml:space="preserve">Yes</w:t>
            </w:r>
          </w:p>
        </w:tc>
        <w:tc>
          <w:tcPr>
            <w:tcW w:type="dxa" w:w="556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t xml:space="preserve">Must match a staff account. The new UI should fuzzy-match and let the user fix typos inline.</w:t>
            </w:r>
          </w:p>
        </w:tc>
      </w:tr>
      <w:tr>
        <w:tc>
          <w:tcPr>
            <w:tcW w:type="dxa" w:w="2600"/>
            <w:tcBorders>
              <w:top w:val="single" w:color="D5DCE6" w:sz="6"/>
              <w:left w:val="single" w:color="D5DCE6" w:sz="6"/>
              <w:bottom w:val="single" w:color="D5DCE6" w:sz="6"/>
              <w:right w:val="single" w:color="D5DCE6" w:sz="6"/>
            </w:tcBorders>
            <w:tcMar>
              <w:top w:type="dxa" w:w="90"/>
              <w:left w:type="dxa" w:w="140"/>
              <w:bottom w:type="dxa" w:w="90"/>
              <w:right w:type="dxa" w:w="140"/>
            </w:tcMar>
          </w:tcPr>
          <w:p>
            <w:r>
              <w:rPr>
                <w:rFonts w:ascii="Consolas" w:cs="Consolas" w:eastAsia="Consolas" w:hAnsi="Consolas"/>
              </w:rPr>
              <w:t xml:space="preserve">class_code</w:t>
            </w:r>
          </w:p>
        </w:tc>
        <w:tc>
          <w:tcPr>
            <w:tcW w:type="dxa" w:w="120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No</w:t>
            </w:r>
          </w:p>
        </w:tc>
        <w:tc>
          <w:tcPr>
            <w:tcW w:type="dxa" w:w="556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Auto-generated from class_name if omitted (uppercased, ≤ 8 chars).</w:t>
            </w:r>
          </w:p>
        </w:tc>
      </w:tr>
      <w:tr>
        <w:tc>
          <w:tcPr>
            <w:tcW w:type="dxa" w:w="260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rPr>
                <w:rFonts w:ascii="Consolas" w:cs="Consolas" w:eastAsia="Consolas" w:hAnsi="Consolas"/>
              </w:rPr>
              <w:t xml:space="preserve">pupil_name</w:t>
            </w:r>
          </w:p>
        </w:tc>
        <w:tc>
          <w:tcPr>
            <w:tcW w:type="dxa" w:w="120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t xml:space="preserve">No</w:t>
            </w:r>
          </w:p>
        </w:tc>
        <w:tc>
          <w:tcPr>
            <w:tcW w:type="dxa" w:w="5560"/>
            <w:tcBorders>
              <w:top w:val="single" w:color="D5DCE6" w:sz="6"/>
              <w:left w:val="single" w:color="D5DCE6" w:sz="6"/>
              <w:bottom w:val="single" w:color="D5DCE6" w:sz="6"/>
              <w:right w:val="single" w:color="D5DCE6" w:sz="6"/>
            </w:tcBorders>
            <w:shd w:fill="F8F9FB" w:val="clear"/>
            <w:tcMar>
              <w:top w:type="dxa" w:w="90"/>
              <w:left w:type="dxa" w:w="140"/>
              <w:bottom w:type="dxa" w:w="90"/>
              <w:right w:type="dxa" w:w="140"/>
            </w:tcMar>
          </w:tcPr>
          <w:p>
            <w:r>
              <w:t xml:space="preserve">Optional. Split into first/last on first whitespace. Omit for class-shell-only setup.</w:t>
            </w:r>
          </w:p>
        </w:tc>
      </w:tr>
      <w:tr>
        <w:tc>
          <w:tcPr>
            <w:tcW w:type="dxa" w:w="2600"/>
            <w:tcBorders>
              <w:top w:val="single" w:color="D5DCE6" w:sz="6"/>
              <w:left w:val="single" w:color="D5DCE6" w:sz="6"/>
              <w:bottom w:val="single" w:color="D5DCE6" w:sz="6"/>
              <w:right w:val="single" w:color="D5DCE6" w:sz="6"/>
            </w:tcBorders>
            <w:tcMar>
              <w:top w:type="dxa" w:w="90"/>
              <w:left w:type="dxa" w:w="140"/>
              <w:bottom w:type="dxa" w:w="90"/>
              <w:right w:type="dxa" w:w="140"/>
            </w:tcMar>
          </w:tcPr>
          <w:p>
            <w:r>
              <w:rPr>
                <w:rFonts w:ascii="Consolas" w:cs="Consolas" w:eastAsia="Consolas" w:hAnsi="Consolas"/>
              </w:rPr>
              <w:t xml:space="preserve">teacher_name</w:t>
            </w:r>
          </w:p>
        </w:tc>
        <w:tc>
          <w:tcPr>
            <w:tcW w:type="dxa" w:w="120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No</w:t>
            </w:r>
          </w:p>
        </w:tc>
        <w:tc>
          <w:tcPr>
            <w:tcW w:type="dxa" w:w="5560"/>
            <w:tcBorders>
              <w:top w:val="single" w:color="D5DCE6" w:sz="6"/>
              <w:left w:val="single" w:color="D5DCE6" w:sz="6"/>
              <w:bottom w:val="single" w:color="D5DCE6" w:sz="6"/>
              <w:right w:val="single" w:color="D5DCE6" w:sz="6"/>
            </w:tcBorders>
            <w:tcMar>
              <w:top w:type="dxa" w:w="90"/>
              <w:left w:type="dxa" w:w="140"/>
              <w:bottom w:type="dxa" w:w="90"/>
              <w:right w:type="dxa" w:w="140"/>
            </w:tcMar>
          </w:tcPr>
          <w:p>
            <w:r>
              <w:t xml:space="preserve">Display name. Falls back to the staff profile if omitted.</w:t>
            </w:r>
          </w:p>
        </w:tc>
      </w:tr>
    </w:tbl>
    <w:p>
      <w:pPr>
        <w:spacing w:after="120"/>
      </w:pPr>
      <w:r>
        <w:t xml:space="preserve"/>
      </w:r>
    </w:p>
    <w:p>
      <w:pPr>
        <w:pStyle w:val="Heading2"/>
        <w:spacing w:after="120" w:before="280"/>
      </w:pPr>
      <w:r>
        <w:t xml:space="preserve">3.4  Single source, both trackers</w:t>
      </w:r>
    </w:p>
    <w:p>
      <w:pPr>
        <w:spacing w:after="120"/>
      </w:pPr>
      <w:r>
        <w:t xml:space="preserve">Because routing is per-row, the faculty head does NOT need to choose “upload for Art” versus “upload for Drama.” One mixed file populates both:</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subject, year_level, class_name, teacher_email
art,    S1, S1 Art A,   a.smith@school.com
art,    S2, S2 Art B,   a.smith@school.com
drama,  S1, S1 Drama A, b.jones@school.com
drama,  S3, S3 Drama,   c.lee@school.com</w:t>
      </w:r>
    </w:p>
    <w:p>
      <w:pPr>
        <w:spacing w:after="120"/>
      </w:pPr>
      <w:r>
        <w:t xml:space="preserve">On save: the Art Tracker shows the two art rows for a.smith@school.com when they log in. The Drama Tracker shows the two drama rows for b.jones@school.com and c.lee@school.com. No manual sorting.</w:t>
      </w:r>
    </w:p>
    <w:p>
      <w:r>
        <w:br w:type="page"/>
      </w:r>
    </w:p>
    <w:p>
      <w:pPr>
        <w:pStyle w:val="Heading1"/>
        <w:spacing w:after="160" w:before="360"/>
      </w:pPr>
      <w:r>
        <w:t xml:space="preserve">4. Visual design — why it reads as messy and flat</w:t>
      </w:r>
    </w:p>
    <w:p>
      <w:pPr>
        <w:spacing w:after="120"/>
      </w:pPr>
      <w:r>
        <w:t xml:space="preserve">The flat / cluttered / hard-to-read feedback is grounded in a few concrete root causes.</w:t>
      </w:r>
    </w:p>
    <w:p>
      <w:pPr>
        <w:pStyle w:val="Heading2"/>
        <w:spacing w:after="120" w:before="280"/>
      </w:pPr>
      <w:r>
        <w:t xml:space="preserve">4.1  No shared design tokens</w:t>
      </w:r>
    </w:p>
    <w:p>
      <w:pPr>
        <w:spacing w:after="120"/>
      </w:pPr>
      <w:r>
        <w:t xml:space="preserve">Most files redefine their own :root CSS variables. The same colour, navy, exists under at least three different variable names across the codebase, and the Faculty Head Hub uses a completely different palette.</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faculty-hub.html line 42
  --navy: #1e2d4a;  --navy-dark: #16243c;  --navy-active: #2a3f62</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fh-shell.css lines 4–18
  --fh-navy: #1e2d4a;  --fh-navy-dark: #16243c   (same hex, different names)</w:t>
      </w:r>
    </w:p>
    <w:p>
      <w:pPr>
        <w:pBdr>
          <w:left w:val="single" w:color="9CA3AF" w:sz="12" w:space="8"/>
        </w:pBdr>
        <w:shd w:fill="F2F4F7" w:color="auto" w:val="clear"/>
        <w:spacing w:after="80" w:before="80"/>
      </w:pPr>
      <w:r>
        <w:rPr>
          <w:rFonts w:ascii="Consolas" w:cs="Consolas" w:eastAsia="Consolas" w:hAnsi="Consolas"/>
          <w:color w:val="1F2937"/>
          <w:sz w:val="18"/>
          <w:szCs w:val="18"/>
        </w:rPr>
        <w:t xml:space="preserve">faculty_head_hub.html lines 23–38
  --navy: #0f1630;  --navy2: #1b1f4f;  --purple: #5b3fd1   (different palette entirely)</w:t>
      </w:r>
    </w:p>
    <w:p>
      <w:pPr>
        <w:spacing w:after="120"/>
      </w:pPr>
      <w:r>
        <w:t xml:space="preserve">This is why moving between sections feels like switching products.</w:t>
      </w:r>
    </w:p>
    <w:p>
      <w:pPr>
        <w:pStyle w:val="Heading2"/>
        <w:spacing w:after="120" w:before="280"/>
      </w:pPr>
      <w:r>
        <w:t xml:space="preserve">4.2  Four near-identical greys for the page background</w:t>
      </w:r>
    </w:p>
    <w:p>
      <w:pPr>
        <w:spacing w:after="120"/>
      </w:pPr>
      <w:r>
        <w:t xml:space="preserve">Across the 22 HTML files reviewed, the page background is set as #F0F2F5, #F2F4F8, #F3F6FA, or #F4F6FB depending on the file. None of these are wrong, but the inconsistency contributes to the “something is slightly off” feeling when navigating between pages.</w:t>
      </w:r>
    </w:p>
    <w:p>
      <w:pPr>
        <w:pStyle w:val="Heading2"/>
        <w:spacing w:after="120" w:before="280"/>
      </w:pPr>
      <w:r>
        <w:t xml:space="preserve">4.3  Four different typographic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Area</w:t>
            </w:r>
          </w:p>
        </w:tc>
        <w:tc>
          <w:tcPr>
            <w:tcW w:type="dxa" w:w="14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Severity</w:t>
            </w:r>
          </w:p>
        </w:tc>
        <w:tc>
          <w:tcPr>
            <w:tcW w:type="dxa" w:w="47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Why it matters</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Main hub + fh-shell</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General Sans + Inter (Fontshare + Google) — the intended baseline.</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Faculty Head Hub</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Same as above. OK.</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Art + Drama trackers</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45309"/>
              </w:rPr>
              <w:t xml:space="preserve">Medium</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DM Sans body, Sora headings — a different feel from the rest. Switching into a tracker is visibly a context switch.</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Tracking &amp; Monitoring hub</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B45309"/>
              </w:rPr>
              <w:t xml:space="preserve">Medium</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Inter only — narrower and slightly more compressed than the General Sans pages.</w:t>
            </w:r>
          </w:p>
        </w:tc>
      </w:tr>
      <w:tr>
        <w:tc>
          <w:tcPr>
            <w:tcW w:type="dxa" w:w="3200"/>
            <w:tcBorders>
              <w:top w:val="single" w:color="D5DCE6" w:sz="6"/>
              <w:left w:val="single" w:color="D5DCE6" w:sz="6"/>
              <w:bottom w:val="single" w:color="D5DCE6" w:sz="6"/>
              <w:right w:val="single" w:color="D5DCE6" w:sz="6"/>
            </w:tcBorders>
            <w:tcMar>
              <w:top w:type="dxa" w:w="100"/>
              <w:left w:type="dxa" w:w="140"/>
              <w:bottom w:type="dxa" w:w="100"/>
              <w:right w:type="dxa" w:w="140"/>
            </w:tcMar>
          </w:tcPr>
          <w:p>
            <w:r>
              <w:rPr>
                <w:b/>
                <w:bCs/>
              </w:rPr>
              <w:t xml:space="preserve">Report Builders</w:t>
            </w:r>
          </w:p>
        </w:tc>
        <w:tc>
          <w:tcPr>
            <w:tcW w:type="dxa" w:w="1400"/>
            <w:tcBorders>
              <w:top w:val="single" w:color="D5DCE6" w:sz="6"/>
              <w:left w:val="single" w:color="D5DCE6" w:sz="6"/>
              <w:bottom w:val="single" w:color="D5DCE6" w:sz="6"/>
              <w:right w:val="single" w:color="D5DCE6" w:sz="6"/>
            </w:tcBorders>
            <w:shd w:fill="F8F9FB" w:val="clear"/>
            <w:tcMar>
              <w:top w:type="dxa" w:w="100"/>
              <w:left w:type="dxa" w:w="140"/>
              <w:bottom w:type="dxa" w:w="100"/>
              <w:right w:type="dxa" w:w="140"/>
            </w:tcMar>
          </w:tcPr>
          <w:p>
            <w:r>
              <w:rPr>
                <w:b/>
                <w:bCs/>
                <w:color w:val="166534"/>
              </w:rPr>
              <w:t xml:space="preserve">Low</w:t>
            </w:r>
          </w:p>
        </w:tc>
        <w:tc>
          <w:tcPr>
            <w:tcW w:type="dxa" w:w="4760"/>
            <w:tcBorders>
              <w:top w:val="single" w:color="D5DCE6" w:sz="6"/>
              <w:left w:val="single" w:color="D5DCE6" w:sz="6"/>
              <w:bottom w:val="single" w:color="D5DCE6" w:sz="6"/>
              <w:right w:val="single" w:color="D5DCE6" w:sz="6"/>
            </w:tcBorders>
            <w:tcMar>
              <w:top w:type="dxa" w:w="100"/>
              <w:left w:type="dxa" w:w="140"/>
              <w:bottom w:type="dxa" w:w="100"/>
              <w:right w:type="dxa" w:w="140"/>
            </w:tcMar>
          </w:tcPr>
          <w:p>
            <w:r>
              <w:t xml:space="preserve">Inter + IBM Plex Sans.</w:t>
            </w:r>
          </w:p>
        </w:tc>
      </w:tr>
    </w:tbl>
    <w:p>
      <w:pPr>
        <w:pStyle w:val="Heading2"/>
        <w:spacing w:after="120" w:before="280"/>
      </w:pPr>
      <w:r>
        <w:t xml:space="preserve">4.4  Subject colours are defined but barely used</w:t>
      </w:r>
    </w:p>
    <w:p>
      <w:pPr>
        <w:spacing w:after="120"/>
      </w:pPr>
      <w:r>
        <w:t xml:space="preserve">There is an intent in the codebase to colour-code by subject — Art orange (#c0622a), Drama blue (#4a7fd4), Photography purple (#8b5cf6) — but those colours only appear on a thin left-border accent in the sidebar and a couple of small subject dots. They never propagate into card headers, table row stripes, badges, hero strips, or section dividers.</w:t>
      </w:r>
    </w:p>
    <w:p>
      <w:pPr>
        <w:spacing w:after="120"/>
      </w:pPr>
      <w:r>
        <w:t xml:space="preserve">Surface them everywhere and the system instantly feels more lively and easier to scan:</w:t>
      </w:r>
    </w:p>
    <w:p>
      <w:pPr>
        <w:pStyle w:val="ListParagraph"/>
        <w:numPr>
          <w:ilvl w:val="0"/>
          <w:numId w:val="3"/>
        </w:numPr>
        <w:spacing w:after="60"/>
      </w:pPr>
      <w:r>
        <w:t xml:space="preserve">Tracker page hero: a coloured bar tinted with the subject accent.</w:t>
      </w:r>
    </w:p>
    <w:p>
      <w:pPr>
        <w:pStyle w:val="ListParagraph"/>
        <w:numPr>
          <w:ilvl w:val="0"/>
          <w:numId w:val="3"/>
        </w:numPr>
        <w:spacing w:after="60"/>
      </w:pPr>
      <w:r>
        <w:t xml:space="preserve">Class management table: a coloured left rule on each row, tinted by subject.</w:t>
      </w:r>
    </w:p>
    <w:p>
      <w:pPr>
        <w:pStyle w:val="ListParagraph"/>
        <w:numPr>
          <w:ilvl w:val="0"/>
          <w:numId w:val="3"/>
        </w:numPr>
        <w:spacing w:after="60"/>
      </w:pPr>
      <w:r>
        <w:t xml:space="preserve">Tracker tiles in the main hub: large colour blocks with strong accents.</w:t>
      </w:r>
    </w:p>
    <w:p>
      <w:pPr>
        <w:pStyle w:val="ListParagraph"/>
        <w:numPr>
          <w:ilvl w:val="0"/>
          <w:numId w:val="3"/>
        </w:numPr>
        <w:spacing w:after="60"/>
      </w:pPr>
      <w:r>
        <w:t xml:space="preserve">Bulk-import summary: “12 rows routed to Art Tracker” in orange, “9 rows routed to Drama Tracker” in blue.</w:t>
      </w:r>
    </w:p>
    <w:p>
      <w:pPr>
        <w:pStyle w:val="Heading2"/>
        <w:spacing w:after="120" w:before="280"/>
      </w:pPr>
      <w:r>
        <w:t xml:space="preserve">4.5  Low-contrast secondary text</w:t>
      </w:r>
    </w:p>
    <w:p>
      <w:pPr>
        <w:spacing w:after="120"/>
      </w:pPr>
      <w:r>
        <w:t xml:space="preserve">Topbar subtitles (e.g. .fh-top-sub) are 0.74rem in #718096 on white — contrast ratio around 4.5:1, right on the AA borderline. Bumping these to a slightly darker grey (#4A5568 or #475569) and increasing size to 0.8–0.85rem improves scanability and accessibility in one move.</w:t>
      </w:r>
    </w:p>
    <w:p>
      <w:pPr>
        <w:pStyle w:val="Heading2"/>
        <w:spacing w:after="120" w:before="280"/>
      </w:pPr>
      <w:r>
        <w:t xml:space="preserve">4.6  Buttons, cards and tables are reinvented per page</w:t>
      </w:r>
    </w:p>
    <w:p>
      <w:pPr>
        <w:spacing w:after="120"/>
      </w:pPr>
      <w:r>
        <w:t xml:space="preserve">Buttons in fh-shell are .fh-btn (outlined). In faculty-hub they're .btn / .btn-primary (solid navy). In v2 class management they're untyped .btns button. In Faculty Head Hub they're .add-btn (solid purple). Tables follow the same pattern — .fh-table, raw &lt;table&gt;, .table-wrap table, each with their own padding and font sizes (.78rem, .79rem, .80rem and .82rem all appear). Settling on one button style and one table style across the product would have a disproportionate impact on perceived quality.</w:t>
      </w:r>
    </w:p>
    <w:p>
      <w:r>
        <w:br w:type="page"/>
      </w:r>
    </w:p>
    <w:p>
      <w:pPr>
        <w:pStyle w:val="Heading1"/>
        <w:spacing w:after="160" w:before="360"/>
      </w:pPr>
      <w:r>
        <w:t xml:space="preserve">5. Recommendations, in order</w:t>
      </w:r>
    </w:p>
    <w:p>
      <w:pPr>
        <w:spacing w:after="120"/>
      </w:pPr>
      <w:r>
        <w:t xml:space="preserve">These are ordered roughly by impact-per-effort. The first three remove most of the “stitched” feeling without any data model changes. The next three modernise class management. The last two are polish.</w:t>
      </w:r>
    </w:p>
    <w:p>
      <w:pPr>
        <w:pStyle w:val="Heading2"/>
        <w:spacing w:after="120" w:before="280"/>
      </w:pPr>
      <w:r>
        <w:t xml:space="preserve">5.1  Foundational — do these first</w:t>
      </w:r>
    </w:p>
    <w:p>
      <w:pPr>
        <w:spacing w:after="120"/>
      </w:pPr>
      <w:r>
        <w:rPr>
          <w:b/>
          <w:bCs/>
          <w:color w:val="1E2D4A"/>
        </w:rPr>
        <w:t xml:space="preserve">1. Adopt one shell. </w:t>
      </w:r>
      <w:r>
        <w:t xml:space="preserve">Replace the five sidebars with one. Build it once (a single HTML partial or a JS-rendered &lt;faculty-shell&gt; component) and have every page mount its content into the same slot. The fh-shell.css file already has most of what's needed; the work is making it the </w:t>
      </w:r>
      <w:r>
        <w:rPr>
          <w:i/>
          <w:iCs/>
        </w:rPr>
        <w:t xml:space="preserve">only </w:t>
      </w:r>
      <w:r>
        <w:t xml:space="preserve">shell.</w:t>
      </w:r>
    </w:p>
    <w:p>
      <w:pPr>
        <w:spacing w:after="120"/>
      </w:pPr>
      <w:r>
        <w:rPr>
          <w:b/>
          <w:bCs/>
          <w:color w:val="1E2D4A"/>
        </w:rPr>
        <w:t xml:space="preserve">2. Remove the broken file. </w:t>
      </w:r>
      <w:r>
        <w:t xml:space="preserve">Delete class_management_hub.html (the six-document concatenation). Search the codebase for any remaining references and point them at the v2 page — or, after step 1, at the new consolidated route.</w:t>
      </w:r>
    </w:p>
    <w:p>
      <w:pPr>
        <w:spacing w:after="120"/>
      </w:pPr>
      <w:r>
        <w:rPr>
          <w:b/>
          <w:bCs/>
          <w:color w:val="1E2D4A"/>
        </w:rPr>
        <w:t xml:space="preserve">3. Fix Faculty Head Hub link routing. </w:t>
      </w:r>
      <w:r>
        <w:t xml:space="preserve">The eight items routed to two destinations need real destinations — or, if the underlying pages don't exist yet, the menu items should be hidden or marked “Coming soon” rather than silently misrouting.</w:t>
      </w:r>
    </w:p>
    <w:p>
      <w:pPr>
        <w:pStyle w:val="Heading2"/>
        <w:spacing w:after="120" w:before="280"/>
      </w:pPr>
      <w:r>
        <w:t xml:space="preserve">5.2  Class management modernisation</w:t>
      </w:r>
    </w:p>
    <w:p>
      <w:pPr>
        <w:spacing w:after="120"/>
      </w:pPr>
      <w:r>
        <w:rPr>
          <w:b/>
          <w:bCs/>
          <w:color w:val="1E2D4A"/>
        </w:rPr>
        <w:t xml:space="preserve">4. Promote bulk import to the primary action. </w:t>
      </w:r>
      <w:r>
        <w:t xml:space="preserve">On the new class management page, a clear “Upload Classes” drop zone should occupy the top third of the screen. The per-row editor and the paste-textarea become secondary actions in an “Add manually” drawer.</w:t>
      </w:r>
    </w:p>
    <w:p>
      <w:pPr>
        <w:spacing w:after="120"/>
      </w:pPr>
      <w:r>
        <w:rPr>
          <w:b/>
          <w:bCs/>
          <w:color w:val="1E2D4A"/>
        </w:rPr>
        <w:t xml:space="preserve">5. Add CSV support and a proper preview step. </w:t>
      </w:r>
      <w:r>
        <w:t xml:space="preserve">Loosen the .xlsx-only check (line 738 of class_management_hub_v2_app.js). After parsing, show a preview table with row-level status and let users fix unmatched teacher emails inline before committing.</w:t>
      </w:r>
    </w:p>
    <w:p>
      <w:pPr>
        <w:spacing w:after="120"/>
      </w:pPr>
      <w:r>
        <w:rPr>
          <w:b/>
          <w:bCs/>
          <w:color w:val="1E2D4A"/>
        </w:rPr>
        <w:t xml:space="preserve">6. Show routing on save. </w:t>
      </w:r>
      <w:r>
        <w:t xml:space="preserve">After commit, show a coloured summary: “X rows added to the Art Tracker, Y rows added to the Drama Tracker.” Link directly to each tracker. This closes the loop on the user's mental model of “where did my classes go?”</w:t>
      </w:r>
    </w:p>
    <w:p>
      <w:pPr>
        <w:pStyle w:val="Heading2"/>
        <w:spacing w:after="120" w:before="280"/>
      </w:pPr>
      <w:r>
        <w:t xml:space="preserve">5.3  Visual polish</w:t>
      </w:r>
    </w:p>
    <w:p>
      <w:pPr>
        <w:spacing w:after="120"/>
      </w:pPr>
      <w:r>
        <w:rPr>
          <w:b/>
          <w:bCs/>
          <w:color w:val="1E2D4A"/>
        </w:rPr>
        <w:t xml:space="preserve">7. Centralise design tokens. </w:t>
      </w:r>
      <w:r>
        <w:t xml:space="preserve">One stylesheet (call it design-tokens.css) with the canonical palette, type scale, spacing scale, button styles, card styles, and table styles. Every page links to it. Per-file :root blocks get deleted.</w:t>
      </w:r>
    </w:p>
    <w:p>
      <w:pPr>
        <w:spacing w:after="120"/>
      </w:pPr>
      <w:r>
        <w:rPr>
          <w:b/>
          <w:bCs/>
          <w:color w:val="1E2D4A"/>
        </w:rPr>
        <w:t xml:space="preserve">8. Use subject colour throughout. </w:t>
      </w:r>
      <w:r>
        <w:t xml:space="preserve">Take the existing accent values (Art orange, Drama blue, Photography purple) and apply them as left rules on table rows, as hero band tints, as badge fills, and on tracker tiles. The cost is small; the lift in perceived quality is large.</w:t>
      </w:r>
    </w:p>
    <w:p>
      <w:r>
        <w:br w:type="page"/>
      </w:r>
    </w:p>
    <w:p>
      <w:pPr>
        <w:pStyle w:val="Heading1"/>
        <w:spacing w:after="160" w:before="360"/>
      </w:pPr>
      <w:r>
        <w:t xml:space="preserve">Appendix A — Key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File</w:t>
            </w:r>
          </w:p>
        </w:tc>
        <w:tc>
          <w:tcPr>
            <w:tcW w:type="dxa" w:w="5560"/>
            <w:tcBorders>
              <w:top w:val="single" w:color="D5DCE6" w:sz="6"/>
              <w:left w:val="single" w:color="D5DCE6" w:sz="6"/>
              <w:bottom w:val="single" w:color="D5DCE6" w:sz="6"/>
              <w:right w:val="single" w:color="D5DCE6" w:sz="6"/>
            </w:tcBorders>
            <w:shd w:fill="1E2D4A" w:val="clear"/>
            <w:tcMar>
              <w:top w:type="dxa" w:w="100"/>
              <w:left w:type="dxa" w:w="140"/>
              <w:bottom w:type="dxa" w:w="100"/>
              <w:right w:type="dxa" w:w="140"/>
            </w:tcMar>
          </w:tcPr>
          <w:p>
            <w:r>
              <w:rPr>
                <w:b/>
                <w:bCs/>
                <w:color w:val="FFFFFF"/>
              </w:rPr>
              <w:t xml:space="preserve">Role in the system</w:t>
            </w:r>
          </w:p>
        </w:tc>
      </w:tr>
      <w:tr>
        <w:tc>
          <w:tcPr>
            <w:tcW w:type="dxa" w:w="38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faculty-hub.html</w:t>
            </w:r>
          </w:p>
        </w:tc>
        <w:tc>
          <w:tcPr>
            <w:tcW w:type="dxa" w:w="55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Main shell with the navy sidebar. Mixes &lt;button&gt; panel toggles with &lt;a&gt; page links — a key cause of the double-nav feeling.</w:t>
            </w:r>
          </w:p>
        </w:tc>
      </w:tr>
      <w:tr>
        <w:tc>
          <w:tcPr>
            <w:tcW w:type="dxa" w:w="38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faculty_head_hub.html</w:t>
            </w:r>
          </w:p>
        </w:tc>
        <w:tc>
          <w:tcPr>
            <w:tcW w:type="dxa" w:w="55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Admin hub. Different colour system; eight menu items routed to two pages. The orphan island.</w:t>
            </w:r>
          </w:p>
        </w:tc>
      </w:tr>
      <w:tr>
        <w:tc>
          <w:tcPr>
            <w:tcW w:type="dxa" w:w="38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fh_*.html (8 files)</w:t>
            </w:r>
          </w:p>
        </w:tc>
        <w:tc>
          <w:tcPr>
            <w:tcW w:type="dxa" w:w="55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Section pages, each duplicates the same .fh-sidebar markup. Strong consolidation target.</w:t>
            </w:r>
          </w:p>
        </w:tc>
      </w:tr>
      <w:tr>
        <w:tc>
          <w:tcPr>
            <w:tcW w:type="dxa" w:w="38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fh-shell.css / fh-shell.js</w:t>
            </w:r>
          </w:p>
        </w:tc>
        <w:tc>
          <w:tcPr>
            <w:tcW w:type="dxa" w:w="55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Shared chrome for the fh_* pages. 276 + 46 lines — short enough to refactor into the unified shell quickly.</w:t>
            </w:r>
          </w:p>
        </w:tc>
      </w:tr>
      <w:tr>
        <w:tc>
          <w:tcPr>
            <w:tcW w:type="dxa" w:w="38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class_management_hub.html</w:t>
            </w:r>
          </w:p>
        </w:tc>
        <w:tc>
          <w:tcPr>
            <w:tcW w:type="dxa" w:w="55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Broken legacy file. Six concatenated HTML documents. Delete.</w:t>
            </w:r>
          </w:p>
        </w:tc>
      </w:tr>
      <w:tr>
        <w:tc>
          <w:tcPr>
            <w:tcW w:type="dxa" w:w="38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class_management_hub_v2.html</w:t>
            </w:r>
          </w:p>
        </w:tc>
        <w:tc>
          <w:tcPr>
            <w:tcW w:type="dxa" w:w="55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26-line container for the v2 SPA.</w:t>
            </w:r>
          </w:p>
        </w:tc>
      </w:tr>
      <w:tr>
        <w:tc>
          <w:tcPr>
            <w:tcW w:type="dxa" w:w="38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class_management_hub_v2_app.js</w:t>
            </w:r>
          </w:p>
        </w:tc>
        <w:tc>
          <w:tcPr>
            <w:tcW w:type="dxa" w:w="55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The live class management app. Bulk import lives here (lines 661–846). Styles are inlined in JS.</w:t>
            </w:r>
          </w:p>
        </w:tc>
      </w:tr>
      <w:tr>
        <w:tc>
          <w:tcPr>
            <w:tcW w:type="dxa" w:w="38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embed-chrome.js</w:t>
            </w:r>
          </w:p>
        </w:tc>
        <w:tc>
          <w:tcPr>
            <w:tcW w:type="dxa" w:w="55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CSS rules that hide chrome when a page is embedded. Incomplete — does not target .fh-sidebar.</w:t>
            </w:r>
          </w:p>
        </w:tc>
      </w:tr>
      <w:tr>
        <w:tc>
          <w:tcPr>
            <w:tcW w:type="dxa" w:w="38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art-tracker.html</w:t>
            </w:r>
          </w:p>
        </w:tc>
        <w:tc>
          <w:tcPr>
            <w:tcW w:type="dxa" w:w="55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Art tracker, filters by subject='art' on load.</w:t>
            </w:r>
          </w:p>
        </w:tc>
      </w:tr>
      <w:tr>
        <w:tc>
          <w:tcPr>
            <w:tcW w:type="dxa" w:w="38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drama-tracker-v2 (5).html</w:t>
            </w:r>
          </w:p>
        </w:tc>
        <w:tc>
          <w:tcPr>
            <w:tcW w:type="dxa" w:w="55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Drama tracker, filters by subject='drama' on load.</w:t>
            </w:r>
          </w:p>
        </w:tc>
      </w:tr>
      <w:tr>
        <w:tc>
          <w:tcPr>
            <w:tcW w:type="dxa" w:w="380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rFonts w:ascii="Consolas" w:cs="Consolas" w:eastAsia="Consolas" w:hAnsi="Consolas"/>
                <w:sz w:val="18"/>
                <w:szCs w:val="18"/>
              </w:rPr>
              <w:t xml:space="preserve">data-service.js</w:t>
            </w:r>
          </w:p>
        </w:tc>
        <w:tc>
          <w:tcPr>
            <w:tcW w:type="dxa" w:w="5560"/>
            <w:tcBorders>
              <w:top w:val="single" w:color="D5DCE6" w:sz="6"/>
              <w:left w:val="single" w:color="D5DCE6" w:sz="6"/>
              <w:bottom w:val="single" w:color="D5DCE6" w:sz="6"/>
              <w:right w:val="single" w:color="D5DCE6" w:sz="6"/>
            </w:tcBorders>
            <w:tcMar>
              <w:top w:type="dxa" w:w="80"/>
              <w:left w:type="dxa" w:w="140"/>
              <w:bottom w:type="dxa" w:w="80"/>
              <w:right w:type="dxa" w:w="140"/>
            </w:tcMar>
          </w:tcPr>
          <w:p>
            <w:r>
              <w:rPr>
                <w:sz w:val="22"/>
                <w:szCs w:val="22"/>
              </w:rPr>
              <w:t xml:space="preserve">Data access layer. bulkUpsertPupilsAndEnrollments lives here (lines 677–747).</w:t>
            </w:r>
          </w:p>
        </w:tc>
      </w:tr>
      <w:tr>
        <w:tc>
          <w:tcPr>
            <w:tcW w:type="dxa" w:w="380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rFonts w:ascii="Consolas" w:cs="Consolas" w:eastAsia="Consolas" w:hAnsi="Consolas"/>
                <w:sz w:val="18"/>
                <w:szCs w:val="18"/>
              </w:rPr>
              <w:t xml:space="preserve">supabase/migrations/20260510090000_*.sql</w:t>
            </w:r>
          </w:p>
        </w:tc>
        <w:tc>
          <w:tcPr>
            <w:tcW w:type="dxa" w:w="5560"/>
            <w:tcBorders>
              <w:top w:val="single" w:color="D5DCE6" w:sz="6"/>
              <w:left w:val="single" w:color="D5DCE6" w:sz="6"/>
              <w:bottom w:val="single" w:color="D5DCE6" w:sz="6"/>
              <w:right w:val="single" w:color="D5DCE6" w:sz="6"/>
            </w:tcBorders>
            <w:shd w:fill="F8F9FB" w:val="clear"/>
            <w:tcMar>
              <w:top w:type="dxa" w:w="80"/>
              <w:left w:type="dxa" w:w="140"/>
              <w:bottom w:type="dxa" w:w="80"/>
              <w:right w:type="dxa" w:w="140"/>
            </w:tcMar>
          </w:tcPr>
          <w:p>
            <w:r>
              <w:rPr>
                <w:sz w:val="22"/>
                <w:szCs w:val="22"/>
              </w:rPr>
              <w:t xml:space="preserve">Canonical class / pupil / teacher schema. No teacher→subject table; subject is per-class.</w:t>
            </w:r>
          </w:p>
        </w:tc>
      </w:tr>
    </w:tbl>
    <w:p>
      <w:pPr>
        <w:spacing w:after="120"/>
      </w:pPr>
      <w:r>
        <w:t xml:space="preserve"/>
      </w:r>
    </w:p>
    <w:p>
      <w:pPr>
        <w:pStyle w:val="Heading1"/>
        <w:spacing w:after="160" w:before="360"/>
      </w:pPr>
      <w:r>
        <w:t xml:space="preserve">Appendix B — Glossary of the issues you described</w:t>
      </w:r>
    </w:p>
    <w:p>
      <w:pPr>
        <w:spacing w:after="120"/>
      </w:pPr>
      <w:r>
        <w:rPr>
          <w:b/>
          <w:bCs/>
          <w:color w:val="C0622A"/>
        </w:rPr>
        <w:t xml:space="preserve">“It feels stitched together.” </w:t>
      </w:r>
      <w:r>
        <w:t xml:space="preserve">Caused by five separate navigation shells coexisting (Section 1.1), full-page &lt;a&gt; tags inside otherwise-button-driven sidebars (Section 1.2 Mechanism A), iframed sub-pages keeping their own chrome (Mechanism B), and an incomplete embed-suppression script (Mechanism C).</w:t>
      </w:r>
    </w:p>
    <w:p>
      <w:pPr>
        <w:spacing w:after="120"/>
      </w:pPr>
      <w:r>
        <w:rPr>
          <w:b/>
          <w:bCs/>
          <w:color w:val="C0622A"/>
        </w:rPr>
        <w:t xml:space="preserve">“Clicking the side nav opens another nav bar.” </w:t>
      </w:r>
      <w:r>
        <w:t xml:space="preserve">Most often Mechanism B — the inner page is being loaded inside a parent page that still shows its own sidebar. Class management is the worst example, with three nested layers.</w:t>
      </w:r>
    </w:p>
    <w:p>
      <w:pPr>
        <w:spacing w:after="120"/>
      </w:pPr>
      <w:r>
        <w:rPr>
          <w:b/>
          <w:bCs/>
          <w:color w:val="C0622A"/>
        </w:rPr>
        <w:t xml:space="preserve">“Class management is clunky and not very good.” </w:t>
      </w:r>
      <w:r>
        <w:t xml:space="preserve">Three paths to add classes with no clear primary, buried under two layers of chrome, .xlsx-only with strict teacher email matching, and visually flat (Section 2.2).</w:t>
      </w:r>
    </w:p>
    <w:p>
      <w:pPr>
        <w:spacing w:after="120"/>
      </w:pPr>
      <w:r>
        <w:rPr>
          <w:b/>
          <w:bCs/>
          <w:color w:val="C0622A"/>
        </w:rPr>
        <w:t xml:space="preserve">“It looks bad, hard to read, not colourful.” </w:t>
      </w:r>
      <w:r>
        <w:t xml:space="preserve">No shared design tokens, four near-identical page backgrounds, four typography systems, subject accent colours defined but barely surfaced, low-contrast secondary text (Section 4).</w:t>
      </w:r>
    </w:p>
    <w:p>
      <w:pPr>
        <w:spacing w:after="120"/>
      </w:pPr>
      <w:r>
        <w:rPr>
          <w:b/>
          <w:bCs/>
          <w:color w:val="C0622A"/>
        </w:rPr>
        <w:t xml:space="preserve">“I want to bulk upload classes into the Art or Drama tracker.” </w:t>
      </w:r>
      <w:r>
        <w:t xml:space="preserve">Already implemented. The plumbing accepts mixed art/drama rows and routes per row via the subject column. The work is surfacing, polishing, and broadening the existing flow (Section 3).</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A85"/>
        <w:sz w:val="18"/>
        <w:szCs w:val="18"/>
      </w:rPr>
      <w:t xml:space="preserve">Prepared by Claude  ·  16 May 2026</w:t>
    </w:r>
    <w:r>
      <w:t xml:space="preserve">	</w:t>
    </w:r>
    <w:r>
      <w:rPr>
        <w:color w:val="5A6A85"/>
        <w:sz w:val="18"/>
        <w:szCs w:val="18"/>
      </w:rPr>
      <w:t xml:space="preserve">Page </w:t>
    </w:r>
    <w:r>
      <w:rPr>
        <w:color w:val="5A6A85"/>
        <w:sz w:val="18"/>
        <w:szCs w:val="18"/>
      </w:rPr>
      <w:fldChar w:fldCharType="begin"/>
      <w:instrText xml:space="preserve">PAGE</w:instrText>
      <w:fldChar w:fldCharType="separate"/>
      <w:fldChar w:fldCharType="end"/>
    </w:r>
    <w:r>
      <w:rPr>
        <w:color w:val="5A6A85"/>
        <w:sz w:val="18"/>
        <w:szCs w:val="18"/>
      </w:rPr>
      <w:t xml:space="preserve"> of </w:t>
    </w:r>
    <w:r>
      <w:rPr>
        <w:color w:val="5A6A8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A6A85"/>
        <w:sz w:val="18"/>
        <w:szCs w:val="18"/>
      </w:rPr>
      <w:t xml:space="preserve">Faculty Hub System —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2D4A"/>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2D4A"/>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C062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Faculty Hub System — Audit Report</dc:title>
  <dc:creator>Claude</dc:creator>
  <dc:description>Read-only audit of the Faculty Hub system, focused on navigation, class management, bulk import and visual design.</dc:description>
  <cp:lastModifiedBy>Un-named</cp:lastModifiedBy>
  <cp:revision>1</cp:revision>
  <dcterms:created xsi:type="dcterms:W3CDTF">2026-05-16T18:59:10.508Z</dcterms:created>
  <dcterms:modified xsi:type="dcterms:W3CDTF">2026-05-16T18:59:10.508Z</dcterms:modified>
</cp:coreProperties>
</file>

<file path=docProps/custom.xml><?xml version="1.0" encoding="utf-8"?>
<Properties xmlns="http://schemas.openxmlformats.org/officeDocument/2006/custom-properties" xmlns:vt="http://schemas.openxmlformats.org/officeDocument/2006/docPropsVTypes"/>
</file>