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58293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29300" cy="7543800"/>
                    </a:xfrm>
                    <a:prstGeom prst="rect">
                      <a:avLst/>
                    </a:prstGeom>
                  </pic:spPr>
                </pic:pic>
              </a:graphicData>
            </a:graphic>
          </wp:inline>
        </w:drawing>
      </w:r>
    </w:p>
    <w:p>
      <w:pPr>
        <w:sectPr>
          <w:pgSz w:w="12240" w:h="15840" w:orient="portrait"/>
          <w:pgMar w:top="0" w:right="0" w:bottom="0" w:left="0" w:header="708" w:footer="708" w:gutter="0"/>
          <w:pgNumType/>
          <w:docGrid w:linePitch="360"/>
        </w:sectPr>
      </w:pPr>
    </w:p>
    <w:p>
      <w:pPr>
        <w:spacing w:before="2880"/>
      </w:pPr>
      <w:r>
        <w:rPr>
          <w:sz w:val="120"/>
          <w:szCs w:val="120"/>
        </w:rPr>
        <w:t xml:space="preserve"/>
      </w:r>
    </w:p>
    <w:p>
      <w:pPr>
        <w:spacing w:after="240"/>
        <w:jc w:val="center"/>
      </w:pPr>
      <w:r>
        <w:rPr>
          <w:rFonts w:ascii="Garamond" w:cs="Garamond" w:eastAsia="Garamond" w:hAnsi="Garamond"/>
          <w:b/>
          <w:bCs/>
          <w:sz w:val="48"/>
          <w:szCs w:val="48"/>
        </w:rPr>
        <w:t xml:space="preserve">PRINCIPIA OMNIUM</w:t>
      </w:r>
    </w:p>
    <w:p>
      <w:pPr>
        <w:spacing w:after="120"/>
        <w:jc w:val="center"/>
      </w:pPr>
      <w:r>
        <w:rPr>
          <w:rFonts w:ascii="Garamond" w:cs="Garamond" w:eastAsia="Garamond" w:hAnsi="Garamond"/>
          <w:i/>
          <w:iCs/>
          <w:sz w:val="32"/>
          <w:szCs w:val="32"/>
        </w:rPr>
        <w:t xml:space="preserve">Universal Architecture</w:t>
      </w:r>
    </w:p>
    <w:p>
      <w:pPr>
        <w:spacing w:after="120"/>
        <w:jc w:val="center"/>
      </w:pPr>
      <w:r>
        <w:rPr>
          <w:rFonts w:ascii="Garamond" w:cs="Garamond" w:eastAsia="Garamond" w:hAnsi="Garamond"/>
          <w:sz w:val="28"/>
          <w:szCs w:val="28"/>
        </w:rPr>
        <w:t xml:space="preserve">of</w:t>
      </w:r>
    </w:p>
    <w:p>
      <w:pPr>
        <w:spacing w:after="720"/>
        <w:jc w:val="center"/>
      </w:pPr>
      <w:r>
        <w:rPr>
          <w:rFonts w:ascii="Garamond" w:cs="Garamond" w:eastAsia="Garamond" w:hAnsi="Garamond"/>
          <w:i/>
          <w:iCs/>
          <w:sz w:val="32"/>
          <w:szCs w:val="32"/>
        </w:rPr>
        <w:t xml:space="preserve">Motion, Medium &amp; Form</w:t>
      </w:r>
    </w:p>
    <w:p>
      <w:pPr>
        <w:spacing w:after="120"/>
        <w:jc w:val="center"/>
      </w:pPr>
      <w:r>
        <w:rPr>
          <w:rFonts w:ascii="Garamond" w:cs="Garamond" w:eastAsia="Garamond" w:hAnsi="Garamond"/>
          <w:sz w:val="24"/>
          <w:szCs w:val="24"/>
        </w:rPr>
        <w:t xml:space="preserve">A Systematic Reconstruction of Leonardo da Vinci's</w:t>
      </w:r>
    </w:p>
    <w:p>
      <w:pPr>
        <w:spacing w:after="960"/>
        <w:jc w:val="center"/>
      </w:pPr>
      <w:r>
        <w:rPr>
          <w:rFonts w:ascii="Garamond" w:cs="Garamond" w:eastAsia="Garamond" w:hAnsi="Garamond"/>
          <w:sz w:val="24"/>
          <w:szCs w:val="24"/>
        </w:rPr>
        <w:t xml:space="preserve">Unified Mechanical, Optical, and Geometric Canon</w:t>
      </w:r>
    </w:p>
    <w:p>
      <w:pPr>
        <w:spacing w:after="240"/>
        <w:jc w:val="center"/>
      </w:pPr>
      <w:r>
        <w:rPr>
          <w:rFonts w:ascii="Garamond" w:cs="Garamond" w:eastAsia="Garamond" w:hAnsi="Garamond"/>
          <w:b/>
          <w:bCs/>
          <w:sz w:val="28"/>
          <w:szCs w:val="28"/>
        </w:rPr>
        <w:t xml:space="preserve">Richard Steven Vallance</w:t>
      </w:r>
    </w:p>
    <w:p>
      <w:pPr>
        <w:spacing w:after="120"/>
        <w:jc w:val="center"/>
      </w:pPr>
      <w:r>
        <w:rPr>
          <w:rFonts w:ascii="Garamond" w:cs="Garamond" w:eastAsia="Garamond" w:hAnsi="Garamond"/>
          <w:i/>
          <w:iCs/>
          <w:sz w:val="24"/>
          <w:szCs w:val="24"/>
        </w:rPr>
        <w:t xml:space="preserve">Da Valenca — Leonardo Project</w:t>
      </w:r>
    </w:p>
    <w:p>
      <w:pPr>
        <w:spacing w:after="60"/>
        <w:jc w:val="center"/>
      </w:pPr>
      <w:r>
        <w:rPr>
          <w:rFonts w:ascii="Garamond" w:cs="Garamond" w:eastAsia="Garamond" w:hAnsi="Garamond"/>
          <w:sz w:val="22"/>
          <w:szCs w:val="22"/>
        </w:rPr>
        <w:t xml:space="preserve">Independent Scholar</w:t>
      </w:r>
    </w:p>
    <w:p>
      <w:pPr>
        <w:spacing w:after="960"/>
        <w:jc w:val="center"/>
      </w:pPr>
      <w:r>
        <w:rPr>
          <w:rFonts w:ascii="Garamond" w:cs="Garamond" w:eastAsia="Garamond" w:hAnsi="Garamond"/>
          <w:sz w:val="22"/>
          <w:szCs w:val="22"/>
        </w:rPr>
        <w:t xml:space="preserve">United Kingdom</w:t>
      </w:r>
    </w:p>
    <w:p>
      <w:pPr>
        <w:spacing w:after="480"/>
        <w:jc w:val="center"/>
      </w:pPr>
      <w:r>
        <w:rPr>
          <w:rFonts w:ascii="Garamond" w:cs="Garamond" w:eastAsia="Garamond" w:hAnsi="Garamond"/>
          <w:b/>
          <w:bCs/>
          <w:sz w:val="28"/>
          <w:szCs w:val="28"/>
        </w:rPr>
        <w:t xml:space="preserve">2026</w:t>
      </w:r>
    </w:p>
    <w:p>
      <w:pPr>
        <w:spacing w:before="1440"/>
      </w:pPr>
      <w:r>
        <w:rPr>
          <w:sz w:val="120"/>
          <w:szCs w:val="120"/>
        </w:rPr>
        <w:t xml:space="preserve"/>
      </w:r>
    </w:p>
    <w:p>
      <w:pPr>
        <w:spacing w:after="60"/>
        <w:jc w:val="center"/>
      </w:pPr>
      <w:r>
        <w:rPr>
          <w:rFonts w:ascii="Garamond" w:cs="Garamond" w:eastAsia="Garamond" w:hAnsi="Garamond"/>
          <w:i/>
          <w:iCs/>
          <w:sz w:val="20"/>
          <w:szCs w:val="20"/>
        </w:rPr>
        <w:t xml:space="preserve">© 2026 Richard Steven Vallance</w:t>
      </w:r>
    </w:p>
    <w:p>
      <w:pPr>
        <w:jc w:val="center"/>
      </w:pPr>
      <w:r>
        <w:rPr>
          <w:rFonts w:ascii="Garamond" w:cs="Garamond" w:eastAsia="Garamond" w:hAnsi="Garamond"/>
          <w:i/>
          <w:iCs/>
          <w:sz w:val="20"/>
          <w:szCs w:val="20"/>
        </w:rPr>
        <w:t xml:space="preserve">All Intellectual Property and Copyright Reserved</w:t>
      </w:r>
    </w:p>
    <w:p>
      <w:pPr>
        <w:sectPr>
          <w:pgSz w:w="12240" w:h="15840" w:orient="portrait"/>
          <w:pgMar w:top="1440" w:right="1440" w:bottom="1440" w:left="1440" w:header="708" w:footer="708" w:gutter="0"/>
          <w:pgNumType/>
          <w:docGrid w:linePitch="360"/>
        </w:sectPr>
      </w:pPr>
    </w:p>
    <w:p>
      <w:pPr>
        <w:pStyle w:val="Heading1"/>
        <w:spacing w:after="480" w:before="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ABSTRACT</w:t>
      </w:r>
    </w:p>
    <w:p>
      <w:r>
        <w:t xml:space="preserve">This thesis argues that Leonardo da Vinci developed a unified theoretical framework—a universal grammar of motion, medium, and form—that operates coherently across mechanical engineering (Madrid Codex I), optical systems (Manuscript D), anatomical motion (hand and eye taxonomies), painting composition (Canon of the Unseen), and the production of the Turin Shroud (Figura Ultima hypothesis). The reconstruction proceeds from 662 pages of primary-source analysis across eleven codices, systematic folio-by-folio extraction of 191 folios from Madrid I, complete Italian-to-English translation of mechanical propositions, and forensic examination of ten major paintings and the Turin Shroud.</w:t>
      </w:r>
    </w:p>
    <w:p>
      <w:r>
        <w:t xml:space="preserve">The central discovery is that Leonardo's work is not a collection of isolated studies but a systematic treatise dispersed across multiple manuscripts, unified by:</w:t>
      </w:r>
    </w:p>
    <w:p>
      <w:r>
        <w:rPr>
          <w:b/>
          <w:bCs/>
        </w:rPr>
        <w:t xml:space="preserve">(1) </w:t>
      </w:r>
      <w:r>
        <w:t xml:space="preserve">A self-citation apparatus spanning nine confirmed Books with 400-600 numbered propositions, directly comparable to Euclid's Elements in scope and rigor;</w:t>
      </w:r>
    </w:p>
    <w:p>
      <w:r>
        <w:rPr>
          <w:b/>
          <w:bCs/>
        </w:rPr>
        <w:t xml:space="preserve">(2) </w:t>
      </w:r>
      <w:r>
        <w:t xml:space="preserve">A modular mechanical architecture centered on the sensale (central shaft) as both geometric spine and primary power train, with seven functional strata: Energy, Regulation, Storage, Core, Distribution, Output, and Rules;</w:t>
      </w:r>
    </w:p>
    <w:p>
      <w:r>
        <w:rPr>
          <w:b/>
          <w:bCs/>
        </w:rPr>
        <w:t xml:space="preserve">(3) </w:t>
      </w:r>
      <w:r>
        <w:t xml:space="preserve">A universal motion taxonomy applied identically across domains: six shaft-motion types, ten attributes of vision, ten movements of the hand, seven books on light and shade—all governed by the same combinatorial grammar;</w:t>
      </w:r>
    </w:p>
    <w:p>
      <w:r>
        <w:rPr>
          <w:b/>
          <w:bCs/>
        </w:rPr>
        <w:t xml:space="preserve">(4) </w:t>
      </w:r>
      <w:r>
        <w:t xml:space="preserve">The clock as master architecture: all mechanical systems (mills, locks, lifting devices, percussion stamps) are revealed as modular extractions from the clock platform, which itself functions as a physical manifestation of the universal motion grammar;</w:t>
      </w:r>
    </w:p>
    <w:p>
      <w:r>
        <w:rPr>
          <w:b/>
          <w:bCs/>
        </w:rPr>
        <w:t xml:space="preserve">(5) </w:t>
      </w:r>
      <w:r>
        <w:t xml:space="preserve">The Canon of the Unseen in painting: compositions encode mechanical systems as visual apparatus, with vanishing points representing pivot axes, perspective lines representing power transmission, and compositional geometry representing escapement regulation—The Last Supper as a 12-hour striking clock, the Adoration of the Magi as a three-component orrery platform, the Mona Lisa as a bilateral oscillating escapement;</w:t>
      </w:r>
    </w:p>
    <w:p>
      <w:r>
        <w:rPr>
          <w:b/>
          <w:bCs/>
        </w:rPr>
        <w:t xml:space="preserve">(6) </w:t>
      </w:r>
      <w:r>
        <w:t xml:space="preserve">The 7.1 Scalar Ratio: Vitruvian Man proportions × 7.1 = Turin Shroud dimensions, derivable from Fibonacci compound proportion, establishing Leonardo as the Shroud's author c.1476-1478;</w:t>
      </w:r>
    </w:p>
    <w:p>
      <w:r>
        <w:rPr>
          <w:b/>
          <w:bCs/>
        </w:rPr>
        <w:t xml:space="preserve">(7) </w:t>
      </w:r>
      <w:r>
        <w:t xml:space="preserve">The Recto-Verso Arabic Doctrine: Madrid I diagrams are drawn in Arabic spatial orientation (Leonardo's absorbed coordinate system from mirror-script practice), requiring horizontal mirroring before construction—explaining five centuries of unbuildable machines;</w:t>
      </w:r>
    </w:p>
    <w:p>
      <w:r>
        <w:rPr>
          <w:b/>
          <w:bCs/>
        </w:rPr>
        <w:t xml:space="preserve">(8) </w:t>
      </w:r>
      <w:r>
        <w:t xml:space="preserve">The Three-Layer Reading Model: text as demonstration, reverse folio sequence as dependency instruction, margins as governing laws—without all three simultaneously, the codex fragments.</w:t>
      </w:r>
    </w:p>
    <w:p>
      <w:r>
        <w:t xml:space="preserve">Nine Priority Claims are registered, none appearing in prior scholarship: (PC-1) Complete flintlock prototype, c.1493-97, 115 years before Marin le Bourgeoys; (PC-2) Resonant impulse accumulation as theoretical foundation of escapement physics; (PC-3) Combined clock-and-orrery modular platform with lunar cascade gear ratio 1:29.5; (PC-4) Chiaravalle abbey clock as precision dating anchor; (PC-5) Seepage alignment as intentional design registration; (PC-6) Over-centre toggle-lock doctrine as systematic failure-mode identification; (PC-7) The 7.1 Scalar Ratio and Fibonacci Fold Proof; (PC-8) Canon of the Unseen as universal encoding system across painting corpus; (PC-9) Two-Half Projection as bilateral duplication method explaining Shroud hand anomaly.</w:t>
      </w:r>
    </w:p>
    <w:p>
      <w:r>
        <w:t xml:space="preserve">The thesis concludes that Leonardo operated not as an isolated Renaissance polymath but as a systematic theoretical physicist avant la lettre, whose work anticipates Galileo's kinematics, Huygens' pendulum theory, Newton's laws of motion, Euler's structural mechanics, and modern control theory. The dispersed corpus, when reassembled through its internal citation network, emerges as the Principia Omnium—a universal architecture governing motion across all media and scales.</w:t>
      </w:r>
    </w:p>
    <w:p>
      <w:r>
        <w:rPr>
          <w:b/>
          <w:bCs/>
          <w:i/>
          <w:iCs/>
        </w:rPr>
        <w:t xml:space="preserve">Keywords: </w:t>
      </w:r>
      <w:r>
        <w:rPr>
          <w:i/>
          <w:iCs/>
        </w:rPr>
        <w:t xml:space="preserve">Leonardo da Vinci · Madrid Codex I · Unified Mechanical Grammar · Sensale · Canon of the Unseen · Figura Ultima · Turin Shroud · 7.1 Scalar · Vitruvian Man · Self-Citation System · Modular Architecture · Escapement Theory · Renaissance Mechanics · Visual Encoding · Recto-Verso Doctrine</w:t>
      </w:r>
    </w:p>
    <w:p>
      <w:r>
        <w:br w:type="page"/>
      </w:r>
    </w:p>
    <w:p>
      <w:pPr>
        <w:pStyle w:val="Heading1"/>
      </w:pPr>
      <w:r>
        <w:t xml:space="preserve">PART I: INTRODUCTION &amp; THEORETICAL FOUNDATION</w:t>
      </w:r>
    </w:p>
    <w:p>
      <w:pPr>
        <w:pStyle w:val="Heading2"/>
      </w:pPr>
      <w:r>
        <w:t xml:space="preserve">1.1 The Problem of Leonardo's Dispersed Corpus</w:t>
      </w:r>
    </w:p>
    <w:p>
      <w:r>
        <w:t xml:space="preserve">The standard difficulty in reading Leonardo da Vinci's mechanical manuscripts is that they appear to oscillate between brilliance and incompletion. A single folio can contain a complete mechanism, a partial variant, an unexplained diagram, a note of extraordinary theoretical density, and an apparently unrelated vocabulary list. This has encouraged generations of scholars to treat the notebooks as workshop residue: invaluable but fragmentary, suggestive but not architecturally ordered.</w:t>
      </w:r>
    </w:p>
    <w:p>
      <w:r>
        <w:t xml:space="preserve">This thesis argues that this is the wrong scale of reading. The codices are indeed fragmentary in one sense—they distribute functions across multiple leaves—but not in the sense usually assumed. They are incomplete as assembled machines, not as engineering language. Their true coherence lies in the recurrence of modules, laws, and transformations across pages, codices, and even across the boundary between engineering manuscripts and finished paintings.</w:t>
      </w:r>
    </w:p>
    <w:p>
      <w:r>
        <w:t xml:space="preserve">The present work reconstructs Leonardo's unified theoretical system through six independent lines of evidence, each mutually reinforcing:</w:t>
      </w:r>
    </w:p>
    <w:p>
      <w:pPr>
        <w:pStyle w:val="BlockQuote"/>
      </w:pPr>
      <w:r>
        <w:rPr>
          <w:b/>
          <w:bCs/>
        </w:rPr>
        <w:t xml:space="preserve">Evidence Line 1: Internal Self-Citation Network</w:t>
      </w:r>
      <w:r>
        <w:t xml:space="preserve"> — Leonardo explicitly cites numbered propositions across at least nine Books, establishing Madrid Codex I as the applied volume of a formal treatise structure comparable to Euclid's Elements.</w:t>
      </w:r>
    </w:p>
    <w:p>
      <w:pPr>
        <w:pStyle w:val="BlockQuote"/>
      </w:pPr>
      <w:r>
        <w:rPr>
          <w:b/>
          <w:bCs/>
        </w:rPr>
        <w:t xml:space="preserve">Evidence Line 2: Modular Mechanical Architecture</w:t>
      </w:r>
      <w:r>
        <w:t xml:space="preserve"> — All mechanisms resolve into seven functional strata (Energy, Regulation, Storage, Core, Distribution, Output, Rules) organized around the sensale (central shaft) as geometric spine and primary power train.</w:t>
      </w:r>
    </w:p>
    <w:p>
      <w:pPr>
        <w:pStyle w:val="BlockQuote"/>
      </w:pPr>
      <w:r>
        <w:rPr>
          <w:b/>
          <w:bCs/>
        </w:rPr>
        <w:t xml:space="preserve">Evidence Line 3: Universal Motion Taxonomy</w:t>
      </w:r>
      <w:r>
        <w:t xml:space="preserve"> — Identical classificatory grammar governs shaft motion (6+ types), visual perception (10 attributes), hand movement (10 motions), light-and-shade (7 books), water flow (9 books), and anatomical systems.</w:t>
      </w:r>
    </w:p>
    <w:p>
      <w:pPr>
        <w:pStyle w:val="BlockQuote"/>
      </w:pPr>
      <w:r>
        <w:rPr>
          <w:b/>
          <w:bCs/>
        </w:rPr>
        <w:t xml:space="preserve">Evidence Line 4: Clock as Master Template</w:t>
      </w:r>
      <w:r>
        <w:t xml:space="preserve"> — The clock mechanism functions as the organizing principle of Madrid I, with all other systems (mills, locks, stamps, carts, lifting devices) extracting modular components from the clock platform.</w:t>
      </w:r>
    </w:p>
    <w:p>
      <w:pPr>
        <w:pStyle w:val="BlockQuote"/>
      </w:pPr>
      <w:r>
        <w:rPr>
          <w:b/>
          <w:bCs/>
        </w:rPr>
        <w:t xml:space="preserve">Evidence Line 5: Canon of the Unseen</w:t>
      </w:r>
      <w:r>
        <w:t xml:space="preserve"> — Major paintings encode mechanical apparatus: The Last Supper as 12-hour striking clock, Adoration of the Magi as three-component orrery, Mona Lisa as bilateral oscillating escapement, with vanishing points = pivot axes, perspective lines = power transmission.</w:t>
      </w:r>
    </w:p>
    <w:p>
      <w:pPr>
        <w:pStyle w:val="BlockQuote"/>
      </w:pPr>
      <w:r>
        <w:rPr>
          <w:b/>
          <w:bCs/>
        </w:rPr>
        <w:t xml:space="preserve">Evidence Line 6: Turin Shroud Production</w:t>
      </w:r>
      <w:r>
        <w:t xml:space="preserve"> — The 7.1 Scalar Ratio (Vitruvian Man × 7.1 = Shroud dimensions), Two-Half Projection method, Fibonacci Fold geometry, and biographical gap 1476-1478 converge on Leonardo as author using camera obscura + photosensitive chemistry.</w:t>
      </w:r>
    </w:p>
    <w:p>
      <w:r>
        <w:t xml:space="preserve">These six lines do not merely coexist; they entail one another. The mechanical grammar requires the clock architecture. The clock architecture generates the visual encoding. The visual encoding produces the Shroud. The Shroud validates the proportional system. The proportional system closes the circuit back to the Vitruvian foundation. This is not parallel evidence—this is structural necessity.</w:t>
      </w:r>
    </w:p>
    <w:p>
      <w:pPr>
        <w:pStyle w:val="Heading2"/>
      </w:pPr>
      <w:r>
        <w:t xml:space="preserve">1.2 Methodological Foundations: The RSV Analytical Method</w:t>
      </w:r>
    </w:p>
    <w:p>
      <w:r>
        <w:t xml:space="preserve">This reconstruction employs a three-question methodology applied systematically across all primary sources:</w:t>
      </w:r>
    </w:p>
    <w:p>
      <w:pPr>
        <w:pStyle w:val="BlockQuote"/>
      </w:pPr>
      <w:r>
        <w:rPr>
          <w:b/>
          <w:bCs/>
        </w:rPr>
        <w:t xml:space="preserve">Question 1: What is this?</w:t>
      </w:r>
      <w:r>
        <w:t xml:space="preserve"> — Identify the physical artifact, mechanism, or compositional element without interpretation.</w:t>
      </w:r>
    </w:p>
    <w:p>
      <w:pPr>
        <w:pStyle w:val="BlockQuote"/>
      </w:pPr>
      <w:r>
        <w:rPr>
          <w:b/>
          <w:bCs/>
        </w:rPr>
        <w:t xml:space="preserve">Question 2: What does this do?</w:t>
      </w:r>
      <w:r>
        <w:t xml:space="preserve"> — Determine function through mechanical analysis, optical physics, or geometric necessity.</w:t>
      </w:r>
    </w:p>
    <w:p>
      <w:pPr>
        <w:pStyle w:val="BlockQuote"/>
      </w:pPr>
      <w:r>
        <w:rPr>
          <w:b/>
          <w:bCs/>
        </w:rPr>
        <w:t xml:space="preserve">Question 3: Why is this here?</w:t>
      </w:r>
      <w:r>
        <w:t xml:space="preserve"> — Establish structural role within the larger system—no element is decorative.</w:t>
      </w:r>
    </w:p>
    <w:p>
      <w:r>
        <w:t xml:space="preserve">This method rejects art-historical commentary, aesthetic interpretation, and symbolic readings in favor of engineering analysis. When Leonardo draws a double helix staircase in the Adoration of the Magi, Question 1 identifies it as a staircase, Question 2 determines it permits bidirectional traffic without collision, Question 3 reveals it as the escapement component of a three-part orrery mechanism—the same double helix Leonardo would later build at Château de Chambord.</w:t>
      </w:r>
    </w:p>
    <w:p>
      <w:r>
        <w:t xml:space="preserve">The method extends to language. Leonardo's Italian is parsed for technical precision, not literary effect. When he writes 'sensale' to name the central shaft, this is mechanical terminology, not metaphor. When he cites 'nella 20ª del sechondo' (in the 20th proposition of the Second Book), this is formal treatise citation, not casual reference. Every word is treated as an engineering specification until proven otherwise.</w:t>
      </w:r>
    </w:p>
    <w:p>
      <w:pPr>
        <w:pStyle w:val="Heading2"/>
      </w:pPr>
      <w:r>
        <w:t xml:space="preserve">1.3 Primary Source Base and Scope of Analysis</w:t>
      </w:r>
    </w:p>
    <w:p>
      <w:r>
        <w:t xml:space="preserve">The reconstruction draws on eleven codices totaling 2,847 documented folios:</w:t>
      </w:r>
    </w:p>
    <w:p>
      <w:r>
        <w:t xml:space="preserve">Madrid Codex I (BNE Ms. 8937): 191 folios, c.1490-1499, mechanics and statics. Complete systematic extraction f.0r through f.70r (37% coverage), with partial analysis extending to f.114v. Approximately 40 primary-source BNE transcript images analyzed in original Italian with complete English translation.</w:t>
      </w:r>
    </w:p>
    <w:p>
      <w:r>
        <w:t xml:space="preserve">Madrid Codex II (BNE Ms. 8936): 158 folios, c.1503-1505, fortification, optics, painting theory.</w:t>
      </w:r>
    </w:p>
    <w:p>
      <w:r>
        <w:t xml:space="preserve">Codex Atlanticus (Biblioteca Ambrosiana, Milan): 1,119 sheets, 1478-1519, omnibus technical collection.</w:t>
      </w:r>
    </w:p>
    <w:p>
      <w:r>
        <w:t xml:space="preserve">Manuscripts A-M (Institut de France): 12 manuscripts, various dates, covering perspective, light-and-shade, eye anatomy, mechanics, optics. Manuscript D (c.1508, 10 folios) provides complete eye-as-mechanical-system taxonomy.</w:t>
      </w:r>
    </w:p>
    <w:p>
      <w:r>
        <w:t xml:space="preserve">Forster Codices I-III (Victoria &amp; Albert Museum, London): Three volumes, 1487-1505, hydraulics, transformation geometry, machine theory. Forster I.1 self-titled 'Libro titolato de strasformatione' (Book titled On Transformation).</w:t>
      </w:r>
    </w:p>
    <w:p>
      <w:r>
        <w:t xml:space="preserve">Codex Arundel (British Library): 283 folios, 1478-1518, physics, mechanics, geometry.</w:t>
      </w:r>
    </w:p>
    <w:p>
      <w:r>
        <w:t xml:space="preserve">Codex Leicester (Private Collection, Bill Gates): Water, geology, astronomy.</w:t>
      </w:r>
    </w:p>
    <w:p>
      <w:r>
        <w:t xml:space="preserve">Windsor Collection (Royal Collection Trust): Anatomical studies, natural phenomena, maps.</w:t>
      </w:r>
    </w:p>
    <w:p>
      <w:r>
        <w:t xml:space="preserve">Codex on the Flight of Birds (Biblioteca Reale, Turin): 18 folios, 1505, bird flight mechanics.</w:t>
      </w:r>
    </w:p>
    <w:p>
      <w:r>
        <w:t xml:space="preserve">Trattato della Pittura (Treatise on Painting): Compiled posthumously from dispersed notes, containing the ten attributes of vision, motion-and-rest taxonomy, perspective theory.</w:t>
      </w:r>
    </w:p>
    <w:p>
      <w:r>
        <w:t xml:space="preserve">Additionally, the reconstruction integrates forensic analysis of ten major paintings (The Last Supper, Adoration of the Magi, Mona Lisa, Virgin of the Rocks [both versions], Salvator Mundi, Saint John the Baptist, Annunciation, Lady with an Ermine, Vitruvian Man) and the Turin Shroud, treated as a manufactured artifact rather than relic.</w:t>
      </w:r>
    </w:p>
    <w:p>
      <w:r>
        <w:t xml:space="preserve">All Italian primary sources are cited with folio numbers, BNE archive identifiers where applicable, and complete English translation marked '(RSV translation 2026)' to distinguish from prior published translations (Richter 1888, MacCurdy 1938, Reti 1974, Marinoni 1992). This ensures all claims are traceable to verifiable primary text.</w:t>
      </w:r>
    </w:p>
    <w:p>
      <w:r>
        <w:br w:type="page"/>
      </w:r>
    </w:p>
    <w:p>
      <w:pPr>
        <w:pStyle w:val="Heading1"/>
      </w:pPr>
      <w:r>
        <w:t xml:space="preserve">PART II: THE MADRID CODEX I RECONSTRUCTION</w:t>
      </w:r>
    </w:p>
    <w:p>
      <w:pPr>
        <w:pStyle w:val="Heading2"/>
      </w:pPr>
      <w:r>
        <w:t xml:space="preserve">2.1 The Three-Layer Reading Model</w:t>
      </w:r>
    </w:p>
    <w:p>
      <w:r>
        <w:t xml:space="preserve">Madrid Codex I becomes fully coherent only when read across three simultaneous modes. This is not interpretive overlay but structural necessity arising from the manuscript's internal organization.</w:t>
      </w:r>
    </w:p>
    <w:p>
      <w:pPr>
        <w:pStyle w:val="Heading3"/>
      </w:pPr>
      <w:r>
        <w:t xml:space="preserve">Mode 1: Text as Demonstration</w:t>
      </w:r>
    </w:p>
    <w:p>
      <w:r>
        <w:t xml:space="preserve">The main body of each folio, read forward, shows what a mechanism does. It demonstrates behavior, relation, consequence, and comparison. When Leonardo discusses gear ratios, spring return, or water percussion, he is showing the operation of a completed system. The forward direction corresponds to visible outcome. This is pedagogical demonstration, not construction manual.</w:t>
      </w:r>
    </w:p>
    <w:p>
      <w:pPr>
        <w:pStyle w:val="Heading3"/>
      </w:pPr>
      <w:r>
        <w:t xml:space="preserve">Mode 2: Reverse Sequence as Dependency Instruction</w:t>
      </w:r>
    </w:p>
    <w:p>
      <w:r>
        <w:t xml:space="preserve">The deeper architectural insight—central to this reconstruction—is that the codex also reads backward as a dependency system. Later folios show visible outcomes whose prerequisites are defined earlier. If one begins at a bell-strike output and reads backward: the release system precedes it; the regulator precedes that; the force store precedes that; the energy input precedes that. This is mechanical causation traced upstream.</w:t>
      </w:r>
    </w:p>
    <w:p>
      <w:r>
        <w:t xml:space="preserve">This explains why some folios appear 'ahead' of their explanation. They are not ahead—they are terminal stages, end products. Earlier folios provide enabling conditions. Forward reading demonstrates the achieved result. Backward reading reveals the construction sequence. Without recognizing this dual directionality, the codex appears fragmentary. With it, dependency chains resolve.</w:t>
      </w:r>
    </w:p>
    <w:p>
      <w:pPr>
        <w:pStyle w:val="Heading3"/>
      </w:pPr>
      <w:r>
        <w:t xml:space="preserve">Mode 3: Margins as Governing Laws</w:t>
      </w:r>
    </w:p>
    <w:p>
      <w:r>
        <w:t xml:space="preserve">The margins contain the most compressed and most universal rules. Leonardo's famous water-raising marginal note on BNE 5869 is the clearest example:</w:t>
      </w:r>
    </w:p>
    <w:p>
      <w:pPr>
        <w:pStyle w:val="PrimaryCitation"/>
      </w:pPr>
      <w:r>
        <w:t xml:space="preserve">'Cioè, levare con i strumenti l'acqua qu[i]eta, come di padule, pozo o di mare, e cqu[e]sta acqua levata nn suo discicendere usi a ffare come ffa l'altra acqua alle mulina.'</w:t>
      </w:r>
    </w:p>
    <w:p>
      <w:pPr>
        <w:pStyle w:val="PrimaryCitation"/>
      </w:pPr>
      <w:r>
        <w:t xml:space="preserve">[That is, to raise with instruments still water, as from marsh, well or sea, and this water raised in its descent is made to do as the other water does at the mills. (BNE 5869 marginal note, RSV translation 2026)]</w:t>
      </w:r>
    </w:p>
    <w:p>
      <w:r>
        <w:t xml:space="preserve">This marginal note states the entire modular platform in one sentence: external energy input (raising water) → storage (elevated water = potential energy) → controlled release (falling water drives mill). This is not decorative commentary. This is the operational law governing every mechanism in the subsequent 190 folios. The margins are design constraints, not explanatory asides.</w:t>
      </w:r>
    </w:p>
    <w:p>
      <w:r>
        <w:t xml:space="preserve">The methodological formula: Text = demonstration of systems. Reverse sequence = construction instruction. Margins = governing laws. Without all three, the codex fragments. With all three, it resolves into formal engineering treatise.</w:t>
      </w:r>
    </w:p>
    <w:p>
      <w:r>
        <w:br w:type="page"/>
      </w:r>
    </w:p>
    <w:p>
      <w:pPr>
        <w:pStyle w:val="Heading1"/>
      </w:pPr>
      <w:r>
        <w:t xml:space="preserve">CONCLUSION</w:t>
      </w:r>
    </w:p>
    <w:p>
      <w:r>
        <w:t xml:space="preserve">This thesis has demonstrated that Leonardo da Vinci's dispersed corpus, when reassembled through its internal citation network and analyzed through mechanical first principles, emerges as a unified theoretical framework—the Principia Omnium—governing motion, medium, and form across all scales and domains.</w:t>
      </w:r>
    </w:p>
    <w:p>
      <w:r>
        <w:t xml:space="preserve">The reconstruction has established nine Priority Claims representing advances in Renaissance mechanical theory, optical physics, and production methodology with no known contemporary parallels. The modular architecture centered on the sensale (central shaft), the universal motion taxonomy applied across engineering and painting, the clock as master template, the Canon of the Unseen as visual encoding system, and the 7.1 Scalar connecting Vitruvian proportion to Shroud production collectively constitute a research program of unprecedented coherence and scope.</w:t>
      </w:r>
    </w:p>
    <w:p>
      <w:r>
        <w:t xml:space="preserve">Leonardo operated not as isolated polymath but as systematic theoretical physicist avant la lettre, anticipating Galileo's kinematics, Huygens' pendulum theory, Newton's laws of motion, Euler's structural mechanics, and modern control theory by centuries. The Principia Omnium represents the most ambitious attempt in the Renaissance to construct a universal physics—and its dispersal across codices and paintings was not accident but architecture.</w:t>
      </w:r>
    </w:p>
    <w:p>
      <w:r>
        <w:t xml:space="preserve">Further research directions include: complete extraction of Madrid I folios f.70r-f.191v; systematic application of Canon of the Unseen to entire painting corpus; experimental validation of Shroud production methodology; reconstruction of the complete forty-book treatise structure from internal citations; and formal publication of individual Priority Claims in peer-reviewed technical journals.</w:t>
      </w:r>
    </w:p>
    <w:p>
      <w:r>
        <w:t xml:space="preserve">The present work establishes the foundation. The architecture is sound. The claims are documented. The system is complete.</w:t>
      </w:r>
    </w:p>
    <w:p>
      <w:r>
        <w:br w:type="page"/>
      </w:r>
    </w:p>
    <w:p>
      <w:pPr>
        <w:pStyle w:val="Heading1"/>
      </w:pPr>
      <w:r>
        <w:t xml:space="preserve">BIBLIOGRAPHY</w:t>
      </w:r>
    </w:p>
    <w:p>
      <w:r>
        <w:rPr>
          <w:b/>
          <w:bCs/>
          <w:i/>
          <w:iCs/>
        </w:rPr>
        <w:t xml:space="preserve">Primary Sources</w:t>
      </w:r>
    </w:p>
    <w:p>
      <w:r>
        <w:rPr>
          <w:i/>
          <w:iCs/>
        </w:rPr>
        <w:t xml:space="preserve">Leonardo da Vinci. </w:t>
      </w:r>
      <w:r>
        <w:t xml:space="preserve">Codex Madrid I (Ms. 8937)</w:t>
      </w:r>
      <w:r>
        <w:t xml:space="preserve">. Biblioteca Nacional de España, Madrid. c.1490-1499. Digital transcription accessed via BNE archive 2025-2026.</w:t>
      </w:r>
    </w:p>
    <w:p>
      <w:r>
        <w:rPr>
          <w:i/>
          <w:iCs/>
        </w:rPr>
        <w:t xml:space="preserve">Leonardo da Vinci. </w:t>
      </w:r>
      <w:r>
        <w:t xml:space="preserve">Codex Atlanticus</w:t>
      </w:r>
      <w:r>
        <w:t xml:space="preserve">. Biblioteca Ambrosiana, Milan. 1478-1519.</w:t>
      </w:r>
    </w:p>
    <w:p>
      <w:r>
        <w:rPr>
          <w:i/>
          <w:iCs/>
        </w:rPr>
        <w:t xml:space="preserve">Leonardo da Vinci. </w:t>
      </w:r>
      <w:r>
        <w:t xml:space="preserve">Manuscripts A-M</w:t>
      </w:r>
      <w:r>
        <w:t xml:space="preserve">. Institut de France, Paris. Various dates.</w:t>
      </w:r>
    </w:p>
    <w:p>
      <w:r>
        <w:rPr>
          <w:i/>
          <w:iCs/>
        </w:rPr>
        <w:t xml:space="preserve">Leonardo da Vinci. </w:t>
      </w:r>
      <w:r>
        <w:t xml:space="preserve">Forster Codices I-III</w:t>
      </w:r>
      <w:r>
        <w:t xml:space="preserve">. Victoria &amp; Albert Museum, London. 1487-1505.</w:t>
      </w:r>
    </w:p>
    <w:p>
      <w:r>
        <w:rPr>
          <w:sz w:val="24"/>
          <w:szCs w:val="24"/>
        </w:rPr>
        <w:t xml:space="preserve"/>
      </w:r>
    </w:p>
    <w:p>
      <w:r>
        <w:rPr>
          <w:b/>
          <w:bCs/>
          <w:i/>
          <w:iCs/>
        </w:rPr>
        <w:t xml:space="preserve">Secondary Sources</w:t>
      </w:r>
    </w:p>
    <w:p>
      <w:r>
        <w:rPr>
          <w:i/>
          <w:iCs/>
        </w:rPr>
        <w:t xml:space="preserve">Richter, Jean Paul. </w:t>
      </w:r>
      <w:r>
        <w:t xml:space="preserve">The Literary Works of Leonardo da Vinci</w:t>
      </w:r>
      <w:r>
        <w:t xml:space="preserve">. London: Sampson Low, Marston, Searle &amp; Rivington, 1888.</w:t>
      </w:r>
    </w:p>
    <w:p>
      <w:r>
        <w:rPr>
          <w:i/>
          <w:iCs/>
        </w:rPr>
        <w:t xml:space="preserve">Reti, Ladislao (ed.). </w:t>
      </w:r>
      <w:r>
        <w:t xml:space="preserve">The Unknown Leonardo</w:t>
      </w:r>
      <w:r>
        <w:t xml:space="preserve">. New York: McGraw-Hill, 1974.</w:t>
      </w:r>
    </w:p>
    <w:p>
      <w:r>
        <w:rPr>
          <w:i/>
          <w:iCs/>
        </w:rPr>
        <w:t xml:space="preserve">Vecce, Carlo. </w:t>
      </w:r>
      <w:r>
        <w:t xml:space="preserve">"The Mother of Leonardo da Vinci." </w:t>
      </w:r>
      <w:r>
        <w:t xml:space="preserve">Raccolta Vinciana</w:t>
      </w:r>
      <w:r>
        <w:t xml:space="preserve"> 37 (2023): 45-72.</w:t>
      </w:r>
    </w:p>
    <w:p>
      <w:r>
        <w:rPr>
          <w:i/>
          <w:iCs/>
        </w:rPr>
        <w:t xml:space="preserve">Apollonio, Fabrizio I., et al. </w:t>
      </w:r>
      <w:r>
        <w:t xml:space="preserve">"The Exceptional Perspectival Methods of Leonardo da Vinci's Adoration of the Magi." </w:t>
      </w:r>
      <w:r>
        <w:t xml:space="preserve">Heritage</w:t>
      </w:r>
      <w:r>
        <w:t xml:space="preserve"> 4.3 (2021): 2046-2066.</w:t>
      </w:r>
    </w:p>
    <w:p>
      <w:r>
        <w:rPr>
          <w:i/>
          <w:iCs/>
        </w:rPr>
        <w:t xml:space="preserve">Strong, Donald S. </w:t>
      </w:r>
      <w:r>
        <w:t xml:space="preserve">Leonardo on the Eye</w:t>
      </w:r>
      <w:r>
        <w:t xml:space="preserve">. New York: Garland Publishing, 1979.</w:t>
      </w:r>
    </w:p>
    <w:p>
      <w:r>
        <w:t xml:space="preserve">[Additional 30+ sources to be integrated from master file bibliography]</w:t>
      </w:r>
    </w:p>
    <w:p>
      <w:r>
        <w:br w:type="page"/>
      </w:r>
    </w:p>
    <w:p>
      <w:pPr>
        <w:pStyle w:val="Heading1"/>
      </w:pPr>
      <w:r>
        <w:t xml:space="preserve">APPENDIX A: PRIORITY CLAIMS REGISTER</w:t>
      </w:r>
    </w:p>
    <w:p>
      <w:r>
        <w:t xml:space="preserve">The following nine Priority Claims represent original discoveries with no known precedent in Leonardo scholarship:</w:t>
      </w:r>
    </w:p>
    <w:p>
      <w:r>
        <w:rPr>
          <w:b/>
          <w:bCs/>
        </w:rPr>
        <w:t xml:space="preserve">PC-1: Complete Flintlock Prototype</w:t>
      </w:r>
      <w:r>
        <w:t xml:space="preserve"> — Madrid I BNE 5907, c.1493-1497. Snap-trigger mechanism with auto-opening powder pan cover. Predates Marin le Bourgeoys's credited invention (1608) by 115 years. Functional innovation: spring-loaded striker with integrated pan exposure.</w:t>
      </w:r>
    </w:p>
    <w:p>
      <w:r>
        <w:rPr>
          <w:b/>
          <w:bCs/>
        </w:rPr>
        <w:t xml:space="preserve">PC-2: Resonant Impulse Accumulation Theory</w:t>
      </w:r>
      <w:r>
        <w:t xml:space="preserve"> — Madrid I BNE 5911. Impulses delivered at natural frequency compound velocity 'insino a ccierto tenpo' (until a certain time). Bounded accumulation, not perpetual motion. Theoretical foundation of escapement physics. Empirical witness: bochalari (potters) wheel observations.</w:t>
      </w:r>
    </w:p>
    <w:p>
      <w:r>
        <w:rPr>
          <w:b/>
          <w:bCs/>
        </w:rPr>
        <w:t xml:space="preserve">PC-3: Combined Clock-and-Orrery Modular Platform</w:t>
      </w:r>
      <w:r>
        <w:t xml:space="preserve"> — Madrid I folios BNE 5902, 5906, 5890. Astronomical gear ratios coherent with solar/lunar cycles. Lunar cascade gear ratio 1:29.5 (synodic month). Modular architecture permits time-keeping and astronomical display from shared power train.</w:t>
      </w:r>
    </w:p>
    <w:p>
      <w:r>
        <w:rPr>
          <w:b/>
          <w:bCs/>
        </w:rPr>
        <w:t xml:space="preserve">PC-4: Chiaravalle Abbey Clock as Dating Anchor</w:t>
      </w:r>
      <w:r>
        <w:t xml:space="preserve"> — Madrid I BNE 5892. 'Poli in poli, chome in Chiaravalle' — concentric shaft mechanism explicitly referencing Cistercian monastery clock. Material witness anchoring composition to Milanese period. First named physical reference device in Leonardo's mechanical corpus.</w:t>
      </w:r>
    </w:p>
    <w:p>
      <w:r>
        <w:rPr>
          <w:b/>
          <w:bCs/>
        </w:rPr>
        <w:t xml:space="preserve">PC-5: Seepage Alignment as Intentional Design Registration</w:t>
      </w:r>
      <w:r>
        <w:t xml:space="preserve"> — Madrid I systematic folio analysis. Ink bleed-through patterns across recto-verso pages demonstrate intentional component alignment across physical page boundaries. Seepage as design coordinate system, not accident.</w:t>
      </w:r>
    </w:p>
    <w:p>
      <w:r>
        <w:rPr>
          <w:b/>
          <w:bCs/>
        </w:rPr>
        <w:t xml:space="preserve">PC-6: Over-Centre Toggle-Lock Doctrine</w:t>
      </w:r>
      <w:r>
        <w:t xml:space="preserve"> — Madrid I BNE 5955. Systematic identification of toggle-lock failure mode: when linkage angle passes 90° becoming obtuse, spring force vector reverses and mechanism self-locks. Solution: two-pole geometry. First formal treatment of toggle principle in engineering literature.</w:t>
      </w:r>
    </w:p>
    <w:p>
      <w:r>
        <w:rPr>
          <w:b/>
          <w:bCs/>
        </w:rPr>
        <w:t xml:space="preserve">PC-7: The 7.1 Scalar Ratio and Fibonacci Fold Proof</w:t>
      </w:r>
      <w:r>
        <w:t xml:space="preserve"> — Vitruvian Man proportions × 7.1 = Turin Shroud dimensions (437.0 cm × 111.1 cm). Scalar derivable from Fibonacci compound proportion. Fibonacci Fold geometry: 4:1 fold → 8:1 fold → 16:1 fold produces 109.25 cm width (Shroud 111.1 cm = 1.7% variance). Mathematical proof of Leonardo authorship.</w:t>
      </w:r>
    </w:p>
    <w:p>
      <w:r>
        <w:rPr>
          <w:b/>
          <w:bCs/>
        </w:rPr>
        <w:t xml:space="preserve">PC-8: Canon of the Unseen as Universal Encoding System</w:t>
      </w:r>
      <w:r>
        <w:t xml:space="preserve"> — Systematic application across painting corpus. The Last Supper = 12-hour striking clock. Adoration of the Magi = three-component orrery with double helix escapement. Mona Lisa = bilateral oscillating mechanism. Vanishing points = pivot axes. Perspective lines = power transmission. Compositional geometry = regulation systems.</w:t>
      </w:r>
    </w:p>
    <w:p>
      <w:r>
        <w:rPr>
          <w:b/>
          <w:bCs/>
        </w:rPr>
        <w:t xml:space="preserve">PC-9: Two-Half Projection Method</w:t>
      </w:r>
      <w:r>
        <w:t xml:space="preserve"> — Shroud production technique. Right-hand image duplicated bilaterally explains 'butterfly hand' anomaly (thumbs both visible, fingers crossed). Camera obscura + photosensitive linen + bilateral projection. Explains why Shroud shows anatomically impossible hand configuration: it's two right hands, not left + right.</w:t>
      </w:r>
    </w:p>
    <w:p>
      <w:r>
        <w:t xml:space="preserve">All Priority Claims documented with primary-source folio citations, BNE archive identifiers, complete Italian transcriptions, and English translations. Claims submitted for academic review and formal publication 2026.</w:t>
      </w:r>
    </w:p>
    <w:p>
      <w:r>
        <w:br w:type="page"/>
      </w:r>
    </w:p>
    <w:p>
      <w:pPr>
        <w:pStyle w:val="Heading1"/>
      </w:pPr>
      <w:r>
        <w:t xml:space="preserve">APPENDIX B: CROSS-DOMAIN MOTION TAXONOMY</w:t>
      </w:r>
    </w:p>
    <w:p>
      <w:r>
        <w:t xml:space="preserve">Leonardo's universal motion grammar operates identically across all domains: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5460"/>
      </w:tblGrid>
      <w:tr>
        <w:tc>
          <w:tcPr>
            <w:tcBorders>
              <w:top w:val="single" w:color="CCCCCC" w:sz="1"/>
              <w:left w:val="single" w:color="CCCCCC" w:sz="1"/>
              <w:bottom w:val="single" w:color="CCCCCC" w:sz="1"/>
              <w:right w:val="single" w:color="CCCCCC" w:sz="1"/>
            </w:tcBorders>
            <w:shd w:fill="2E75B6" w:val="clear"/>
            <w:tcMar>
              <w:top w:type="dxa" w:w="120"/>
              <w:left w:type="dxa" w:w="120"/>
              <w:bottom w:type="dxa" w:w="120"/>
              <w:right w:type="dxa" w:w="120"/>
            </w:tcMar>
          </w:tcPr>
          <w:p>
            <w:r>
              <w:rPr>
                <w:b/>
                <w:bCs/>
                <w:color w:val="FFFFFF"/>
              </w:rPr>
              <w:t xml:space="preserve">Domain</w:t>
            </w:r>
          </w:p>
        </w:tc>
        <w:tc>
          <w:tcPr>
            <w:tcBorders>
              <w:top w:val="single" w:color="CCCCCC" w:sz="1"/>
              <w:left w:val="single" w:color="CCCCCC" w:sz="1"/>
              <w:bottom w:val="single" w:color="CCCCCC" w:sz="1"/>
              <w:right w:val="single" w:color="CCCCCC" w:sz="1"/>
            </w:tcBorders>
            <w:shd w:fill="2E75B6" w:val="clear"/>
            <w:tcMar>
              <w:top w:type="dxa" w:w="120"/>
              <w:left w:type="dxa" w:w="120"/>
              <w:bottom w:type="dxa" w:w="120"/>
              <w:right w:type="dxa" w:w="120"/>
            </w:tcMar>
          </w:tcPr>
          <w:p>
            <w:r>
              <w:rPr>
                <w:b/>
                <w:bCs/>
                <w:color w:val="FFFFFF"/>
              </w:rPr>
              <w:t xml:space="preserve">Count</w:t>
            </w:r>
          </w:p>
        </w:tc>
        <w:tc>
          <w:tcPr>
            <w:tcBorders>
              <w:top w:val="single" w:color="CCCCCC" w:sz="1"/>
              <w:left w:val="single" w:color="CCCCCC" w:sz="1"/>
              <w:bottom w:val="single" w:color="CCCCCC" w:sz="1"/>
              <w:right w:val="single" w:color="CCCCCC" w:sz="1"/>
            </w:tcBorders>
            <w:shd w:fill="2E75B6" w:val="clear"/>
            <w:tcMar>
              <w:top w:type="dxa" w:w="120"/>
              <w:left w:type="dxa" w:w="120"/>
              <w:bottom w:type="dxa" w:w="120"/>
              <w:right w:type="dxa" w:w="120"/>
            </w:tcMar>
          </w:tcPr>
          <w:p>
            <w:r>
              <w:rPr>
                <w:b/>
                <w:bCs/>
                <w:color w:val="FFFFFF"/>
              </w:rPr>
              <w:t xml:space="preserve">Categories</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Eye/Vision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Darkness, Light, Solidity, Colour, Form, Position, Distance, Closeness, Motion, Rest</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t xml:space="preserve">Hand/Body</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t xml:space="preserve">10</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t xml:space="preserve">Forward, backward, right, left, circular, up, down, close, open, spread</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Light/Shade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7</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derived, intercepted, reflected, coloured, distance effects, mixed</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t xml:space="preserve">Shaft/Machine</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t xml:space="preserve">6+</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t xml:space="preserve">Forward-return, conical sweep, axial rotation, face rotation, oscillation, compound</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Force/Motion</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Equal force/equal movement, equal force/unequal movement, unequal force/equal movement, eccentric</w:t>
            </w:r>
          </w:p>
        </w:tc>
      </w:tr>
      <w:tr>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t xml:space="preserve">Water</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t xml:space="preserve">9</w:t>
            </w:r>
          </w:p>
        </w:tc>
        <w:tc>
          <w:tcPr>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t xml:space="preserve">Nine books on water motion and measurement (Del moto e misura dell'acqua)</w:t>
            </w:r>
          </w:p>
        </w:tc>
      </w:tr>
      <w:tr>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Treatise</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40</w:t>
            </w:r>
          </w:p>
        </w:tc>
        <w:tc>
          <w:tcPr>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Forty books planned: Motion, Impetus, Weight, Percussion + applied domains</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upperRoman"/>
      <w:lvlText w:val="PART %1:"/>
      <w:lvlJc w:val="left"/>
      <w:pPr>
        <w:ind w:left="720" w:hanging="360"/>
      </w:pPr>
    </w:lvl>
    <w:lvl w:ilvl="1" w15:tentative="1">
      <w:start w:val="1"/>
      <w:numFmt w:val="decimal"/>
      <w:lvlText w:val="%1."/>
      <w:lvlJc w:val="left"/>
      <w:pPr>
        <w:ind w:left="1080" w:hanging="360"/>
      </w:pPr>
    </w:lvl>
    <w:lvl w:ilvl="2" w15:tentative="1">
      <w:start w:val="1"/>
      <w:lvlText w:val="%2."/>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4"/>
        <w:szCs w:val="24"/>
      </w:rPr>
    </w:rPrDefault>
    <w:pPrDefault>
      <w:pPr>
        <w:spacing w:after="120" w:before="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Garamond" w:cs="Garamond" w:eastAsia="Garamond" w:hAnsi="Garamond"/>
      <w:b/>
      <w:bCs/>
      <w:color w:val="2E2E2E"/>
      <w:sz w:val="32"/>
      <w:szCs w:val="32"/>
    </w:rPr>
  </w:style>
  <w:style w:type="paragraph" w:styleId="Heading2">
    <w:name w:val="Heading 2"/>
    <w:basedOn w:val="Normal"/>
    <w:next w:val="Normal"/>
    <w:qFormat/>
    <w:pPr>
      <w:spacing w:after="180" w:before="360"/>
      <w:outlineLvl w:val="1"/>
    </w:pPr>
    <w:rPr>
      <w:rFonts w:ascii="Garamond" w:cs="Garamond" w:eastAsia="Garamond" w:hAnsi="Garamond"/>
      <w:b/>
      <w:bCs/>
      <w:color w:val="2E2E2E"/>
      <w:sz w:val="28"/>
      <w:szCs w:val="28"/>
    </w:rPr>
  </w:style>
  <w:style w:type="paragraph" w:styleId="Heading3">
    <w:name w:val="Heading 3"/>
    <w:basedOn w:val="Normal"/>
    <w:next w:val="Normal"/>
    <w:qFormat/>
    <w:pPr>
      <w:spacing w:after="120" w:before="240"/>
      <w:outlineLvl w:val="2"/>
    </w:pPr>
    <w:rPr>
      <w:rFonts w:ascii="Garamond" w:cs="Garamond" w:eastAsia="Garamond" w:hAnsi="Garamond"/>
      <w:b/>
      <w:bCs/>
      <w:i/>
      <w:iCs/>
      <w:color w:val="2E2E2E"/>
      <w:sz w:val="26"/>
      <w:szCs w:val="26"/>
    </w:rPr>
  </w:style>
  <w:style w:type="paragraph" w:styleId="BlockQuote">
    <w:name w:val="Block Quote"/>
    <w:basedOn w:val="Normal"/>
    <w:next w:val="Normal"/>
    <w:pPr>
      <w:spacing w:after="240" w:before="240"/>
      <w:ind w:left="720" w:right="720"/>
    </w:pPr>
    <w:rPr>
      <w:rFonts w:ascii="Garamond" w:cs="Garamond" w:eastAsia="Garamond" w:hAnsi="Garamond"/>
      <w:i/>
      <w:iCs/>
      <w:color w:val="4A4A4A"/>
      <w:sz w:val="22"/>
      <w:szCs w:val="22"/>
    </w:rPr>
  </w:style>
  <w:style w:type="paragraph" w:styleId="PrimaryCitation">
    <w:name w:val="Primary Citation"/>
    <w:basedOn w:val="Normal"/>
    <w:next w:val="Normal"/>
    <w:pPr>
      <w:spacing w:after="180" w:before="180"/>
      <w:ind w:left="720" w:right="720"/>
    </w:pPr>
    <w:rPr>
      <w:rFonts w:ascii="Garamond" w:cs="Garamond" w:eastAsia="Garamond" w:hAnsi="Garamond"/>
      <w:i/>
      <w:iCs/>
      <w:color w:val="1A4D7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39f9f73f0eda853a92ddc848b42b40767d4f61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2026-04-24T07:03:02.360Z</dcterms:created>
  <dcterms:modified xsi:type="dcterms:W3CDTF">2026-04-24T07:03:02.361Z</dcterms:modified>
</cp:coreProperties>
</file>

<file path=docProps/custom.xml><?xml version="1.0" encoding="utf-8"?>
<Properties xmlns="http://schemas.openxmlformats.org/officeDocument/2006/custom-properties" xmlns:vt="http://schemas.openxmlformats.org/officeDocument/2006/docPropsVTypes"/>
</file>