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Riverside Family Clinic - Patient Intake and Administrative Policy</w:t>
      </w:r>
    </w:p>
    <w:p>
      <w:r>
        <w:t>Policy Number: RFC-INTAKE-014</w:t>
      </w:r>
    </w:p>
    <w:p>
      <w:r>
        <w:t>Effective Date: March 3, 2025. Revised: January 12, 2026.</w:t>
      </w:r>
    </w:p>
    <w:p>
      <w:pPr>
        <w:pStyle w:val="Heading1"/>
      </w:pPr>
      <w:r>
        <w:t>1. Appointment Lengths</w:t>
      </w:r>
    </w:p>
    <w:p>
      <w:r>
        <w:t>New patient intake appointments are scheduled for 45 minutes. Established patient follow-up appointments are scheduled for 20 minutes. Walk-in urgent slots are limited to 3 per day, first-come-first-served, starting at 8:00 AM.</w:t>
      </w:r>
    </w:p>
    <w:p>
      <w:pPr>
        <w:pStyle w:val="Heading1"/>
      </w:pPr>
      <w:r>
        <w:t>2. Cancellation and No-Show Fees</w:t>
      </w:r>
    </w:p>
    <w:p>
      <w:r>
        <w:t>Patients must cancel at least 24 hours in advance by calling 555-0142 or using the patient portal. The fee for a first missed appointment without 24-hour notice is $35. The fee for a second missed appointment within a rolling 12-month period is $75.</w:t>
      </w:r>
    </w:p>
    <w:p>
      <w:pPr>
        <w:pStyle w:val="Heading1"/>
      </w:pPr>
      <w:r>
        <w:t>3. Required Intake Documents</w:t>
      </w:r>
    </w:p>
    <w:p>
      <w:r>
        <w:t>New patients must complete Form RFC-14A (Medical History), Form RFC-14B (Insurance Authorization), and present a government-issued photo ID at the first visit. Minors under 18 additionally require Form RFC-14C (Parental Consent) signed by a legal guardian.</w:t>
      </w:r>
    </w:p>
    <w:p>
      <w:pPr>
        <w:pStyle w:val="Heading1"/>
      </w:pPr>
      <w:r>
        <w:t>4. HIPAA Notice of Privacy Practices</w:t>
      </w:r>
    </w:p>
    <w:p>
      <w:r>
        <w:t>Every new patient must sign Form RFC-HIPAA-01 (Notice of Privacy Practices acknowledgment) before the first clinical encounter. Signed forms are retained for 6 years per clinic record-retention policy.</w:t>
      </w:r>
    </w:p>
    <w:p>
      <w:pPr>
        <w:pStyle w:val="Heading1"/>
      </w:pPr>
      <w:r>
        <w:t>5. Insurance Verification</w:t>
      </w:r>
    </w:p>
    <w:p>
      <w:r>
        <w:t>Front-desk staff complete insurance verification within 2 business days of an appointment being scheduled. Patients are notified by phone if verification cannot be completed before the visit.</w:t>
      </w:r>
    </w:p>
    <w:p>
      <w:pPr>
        <w:pStyle w:val="Heading1"/>
      </w:pPr>
      <w:r>
        <w:t>6. Sliding-Scale Fee Program</w:t>
      </w:r>
    </w:p>
    <w:p>
      <w:r>
        <w:t>Patients with household income at or below 200% of the federal poverty line may apply for the sliding-scale fee program. Applications are processed within 5 business days of submission.</w:t>
      </w:r>
    </w:p>
    <w:p>
      <w:pPr>
        <w:pStyle w:val="Heading1"/>
      </w:pPr>
      <w:r>
        <w:t>7. Clinic Hours</w:t>
      </w:r>
    </w:p>
    <w:p>
      <w:r>
        <w:t>The clinic is open Monday through Friday, 8:00 AM to 5:30 PM, and is closed for lunch from 12:30 PM to 1:15 PM daily.</w:t>
      </w:r>
    </w:p>
    <w:p>
      <w:pPr>
        <w:pStyle w:val="Heading1"/>
      </w:pPr>
      <w:r>
        <w:t>8. Medical Records Requests</w:t>
      </w:r>
    </w:p>
    <w:p>
      <w:r>
        <w:t>Patients requesting a copy of their medical records must submit Form RFC-RR-02. Standard turnaround time for records requests is 10 business days from the date the form is received.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RFC-INTAKE-014 Rev. 2026-01-12 - Internal use, patient-facing summary available at front desk</w:t>
    </w:r>
  </w:p>
</w:ftr>
</file>

<file path=word/header1.xml><?xml version="1.0" encoding="utf-8"?>
<w:hdr xmlns:w="http://schemas.openxmlformats.org/wordprocessingml/2006/main">
  <w:p>
    <w:pPr>
      <w:jc w:val="center"/>
    </w:pPr>
    <w:r>
      <w:t>Riverside Family Clinic - Patient Intake and Administrative Policy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
</file>