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aps/>
          <w:color w:val="2E75B6"/>
          <w:sz w:val="20"/>
          <w:szCs w:val="20"/>
        </w:rPr>
        <w:t xml:space="preserve">TECHNICAL RESEARCH REPORT</w:t>
      </w:r>
    </w:p>
    <w:p>
      <w:pPr>
        <w:spacing w:before="0" w:after="120"/>
      </w:pPr>
      <w:r>
        <w:rPr>
          <w:rFonts w:ascii="Arial" w:cs="Arial" w:eastAsia="Arial" w:hAnsi="Arial"/>
          <w:b/>
          <w:bCs/>
          <w:color w:val="1A3A5C"/>
          <w:sz w:val="44"/>
          <w:szCs w:val="44"/>
        </w:rPr>
        <w:t xml:space="preserve">Mobile MCP: Enabling Cross-App AI Tool Orchestration on iOS and Android</w:t>
      </w:r>
    </w:p>
    <w:p>
      <w:pPr>
        <w:spacing w:before="0" w:after="400"/>
      </w:pPr>
      <w:r>
        <w:rPr>
          <w:rFonts w:ascii="Arial" w:cs="Arial" w:eastAsia="Arial" w:hAnsi="Arial"/>
          <w:color w:val="666666"/>
          <w:sz w:val="20"/>
          <w:szCs w:val="20"/>
        </w:rPr>
        <w:t xml:space="preserve">Version 1.0  •  February 2026  •  Flutter / Dart Ecosystem</w:t>
      </w:r>
    </w:p>
    <w:p>
      <w:pPr>
        <w:pBdr>
          <w:bottom w:val="single" w:color="2E75B6" w:sz="4" w:space="1"/>
        </w:pBdr>
        <w:spacing w:before="200" w:after="200"/>
      </w:pPr>
    </w:p>
    <w:p>
      <w:pPr>
        <w:pStyle w:val="Heading1"/>
        <w:spacing w:before="400" w:after="160"/>
      </w:pPr>
      <w:r>
        <w:rPr>
          <w:rFonts w:ascii="Arial" w:cs="Arial" w:eastAsia="Arial" w:hAnsi="Arial"/>
          <w:b/>
          <w:bCs/>
          <w:color w:val="1A3A5C"/>
          <w:sz w:val="36"/>
          <w:szCs w:val="36"/>
        </w:rPr>
        <w:t xml:space="preserve">Abstract</w:t>
      </w:r>
    </w:p>
    <w:p>
      <w:pPr>
        <w:spacing w:before="80" w:after="120"/>
      </w:pPr>
      <w:r>
        <w:rPr>
          <w:rFonts w:ascii="Arial" w:cs="Arial" w:eastAsia="Arial" w:hAnsi="Arial"/>
          <w:sz w:val="22"/>
          <w:szCs w:val="22"/>
        </w:rPr>
        <w:t xml:space="preserve">The proliferation of on-device AI assistants has created a new class of interoperability challenge: how can a large language model (LLM)-powered host application securely discover and invoke capabilities exposed by other, independently developed applications installed on the same mobile device? Mobile MCP is an open-source Flutter package that addresses this problem by adapting Anthropic's Model Context Protocol (MCP) — originally designed for desktop and server environments — to the constrained, sandboxed runtime model of iOS and Android. This report examines the protocol's architecture, transport mechanisms, security model, and developer ergonomics, and situates it within the broader landscape of agentic AI infrastructure.</w:t>
      </w:r>
    </w:p>
    <w:p>
      <w:pPr>
        <w:pBdr>
          <w:bottom w:val="single" w:color="2E75B6" w:sz="4" w:space="1"/>
        </w:pBdr>
        <w:spacing w:before="200" w:after="200"/>
      </w:pPr>
    </w:p>
    <w:p>
      <w:pPr>
        <w:pStyle w:val="Heading1"/>
        <w:spacing w:before="400" w:after="160"/>
      </w:pPr>
      <w:r>
        <w:rPr>
          <w:rFonts w:ascii="Arial" w:cs="Arial" w:eastAsia="Arial" w:hAnsi="Arial"/>
          <w:b/>
          <w:bCs/>
          <w:color w:val="1A3A5C"/>
          <w:sz w:val="36"/>
          <w:szCs w:val="36"/>
        </w:rPr>
        <w:t xml:space="preserve">1. Background and Motivation</w:t>
      </w:r>
    </w:p>
    <w:p>
      <w:pPr>
        <w:pStyle w:val="Heading2"/>
        <w:spacing w:before="300" w:after="120"/>
      </w:pPr>
      <w:r>
        <w:rPr>
          <w:rFonts w:ascii="Arial" w:cs="Arial" w:eastAsia="Arial" w:hAnsi="Arial"/>
          <w:b/>
          <w:bCs/>
          <w:color w:val="2E75B6"/>
          <w:sz w:val="28"/>
          <w:szCs w:val="28"/>
        </w:rPr>
        <w:t xml:space="preserve">1.1 The Model Context Protocol</w:t>
      </w:r>
    </w:p>
    <w:p>
      <w:pPr>
        <w:spacing w:before="80" w:after="120"/>
      </w:pPr>
      <w:r>
        <w:rPr>
          <w:rFonts w:ascii="Arial" w:cs="Arial" w:eastAsia="Arial" w:hAnsi="Arial"/>
          <w:sz w:val="22"/>
          <w:szCs w:val="22"/>
        </w:rPr>
        <w:t xml:space="preserve">Anthropic's Model Context Protocol (MCP) defines a standard JSON-RPC 2.0 interface through which LLM host processes can discover and call "tools" — discrete, typed functions that extend model capabilities beyond pure language generation. On desktop and cloud environments, MCP sessions are typically established over stdio or HTTP transports, where process-level access and persistent network sockets are readily available.</w:t>
      </w:r>
    </w:p>
    <w:p>
      <w:pPr>
        <w:pStyle w:val="Heading2"/>
        <w:spacing w:before="300" w:after="120"/>
      </w:pPr>
      <w:r>
        <w:rPr>
          <w:rFonts w:ascii="Arial" w:cs="Arial" w:eastAsia="Arial" w:hAnsi="Arial"/>
          <w:b/>
          <w:bCs/>
          <w:color w:val="2E75B6"/>
          <w:sz w:val="28"/>
          <w:szCs w:val="28"/>
        </w:rPr>
        <w:t xml:space="preserve">1.2 The Mobile Gap</w:t>
      </w:r>
    </w:p>
    <w:p>
      <w:pPr>
        <w:spacing w:before="80" w:after="120"/>
      </w:pPr>
      <w:r>
        <w:rPr>
          <w:rFonts w:ascii="Arial" w:cs="Arial" w:eastAsia="Arial" w:hAnsi="Arial"/>
          <w:sz w:val="22"/>
          <w:szCs w:val="22"/>
        </w:rPr>
        <w:t xml:space="preserve">Mobile operating systems fundamentally alter the execution environment in ways that make a naive port of desktop MCP impractical:</w:t>
      </w:r>
    </w:p>
    <w:p>
      <w:pPr>
        <w:pStyle w:val="ListParagraph"/>
        <w:numPr>
          <w:ilvl w:val="0"/>
          <w:numId w:val="2"/>
        </w:numPr>
        <w:spacing w:before="60" w:after="60"/>
      </w:pPr>
      <w:r>
        <w:rPr>
          <w:rFonts w:ascii="Arial" w:cs="Arial" w:eastAsia="Arial" w:hAnsi="Arial"/>
          <w:sz w:val="22"/>
          <w:szCs w:val="22"/>
        </w:rPr>
        <w:t xml:space="preserve">Process isolation: iOS and Android prevent direct inter-process communication (IPC) between sandboxed applications. There is no shared filesystem namespace or accessible stdio.</w:t>
      </w:r>
    </w:p>
    <w:p>
      <w:pPr>
        <w:pStyle w:val="ListParagraph"/>
        <w:numPr>
          <w:ilvl w:val="0"/>
          <w:numId w:val="2"/>
        </w:numPr>
        <w:spacing w:before="60" w:after="60"/>
      </w:pPr>
      <w:r>
        <w:rPr>
          <w:rFonts w:ascii="Arial" w:cs="Arial" w:eastAsia="Arial" w:hAnsi="Arial"/>
          <w:sz w:val="22"/>
          <w:szCs w:val="22"/>
        </w:rPr>
        <w:t xml:space="preserve">Background execution limits: The OS may suspend or terminate background processes at any time, interrupting long-running tool calls mid-execution.</w:t>
      </w:r>
    </w:p>
    <w:p>
      <w:pPr>
        <w:pStyle w:val="ListParagraph"/>
        <w:numPr>
          <w:ilvl w:val="0"/>
          <w:numId w:val="2"/>
        </w:numPr>
        <w:spacing w:before="60" w:after="60"/>
      </w:pPr>
      <w:r>
        <w:rPr>
          <w:rFonts w:ascii="Arial" w:cs="Arial" w:eastAsia="Arial" w:hAnsi="Arial"/>
          <w:sz w:val="22"/>
          <w:szCs w:val="22"/>
        </w:rPr>
        <w:t xml:space="preserve">Deep link hijacking risk: Custom URL schemes (e.g., myapp://) are registered in a first-come-first-served manner, making spoofing trivial without OS-level verification.</w:t>
      </w:r>
    </w:p>
    <w:p>
      <w:pPr>
        <w:pStyle w:val="ListParagraph"/>
        <w:numPr>
          <w:ilvl w:val="0"/>
          <w:numId w:val="2"/>
        </w:numPr>
        <w:spacing w:before="60" w:after="60"/>
      </w:pPr>
      <w:r>
        <w:rPr>
          <w:rFonts w:ascii="Arial" w:cs="Arial" w:eastAsia="Arial" w:hAnsi="Arial"/>
          <w:sz w:val="22"/>
          <w:szCs w:val="22"/>
        </w:rPr>
        <w:t xml:space="preserve">Secure storage requirements: Session tokens stored in plain files or SharedPreferences are accessible to rooted devices and backup extraction tools.</w:t>
      </w:r>
    </w:p>
    <w:p>
      <w:pPr>
        <w:spacing w:before="80" w:after="120"/>
      </w:pPr>
      <w:r>
        <w:rPr>
          <w:rFonts w:ascii="Arial" w:cs="Arial" w:eastAsia="Arial" w:hAnsi="Arial"/>
          <w:sz w:val="22"/>
          <w:szCs w:val="22"/>
        </w:rPr>
        <w:t xml:space="preserve">Mobile MCP was created specifically to address each of these constraints without sacrificing the developer ergonomics or protocol compatibility that make MCP attractive.</w:t>
      </w:r>
    </w:p>
    <w:p>
      <w:pPr>
        <w:pBdr>
          <w:bottom w:val="single" w:color="2E75B6" w:sz="4" w:space="1"/>
        </w:pBdr>
        <w:spacing w:before="200" w:after="200"/>
      </w:pPr>
    </w:p>
    <w:p>
      <w:pPr>
        <w:pStyle w:val="Heading1"/>
        <w:spacing w:before="400" w:after="160"/>
      </w:pPr>
      <w:r>
        <w:rPr>
          <w:rFonts w:ascii="Arial" w:cs="Arial" w:eastAsia="Arial" w:hAnsi="Arial"/>
          <w:b/>
          <w:bCs/>
          <w:color w:val="1A3A5C"/>
          <w:sz w:val="36"/>
          <w:szCs w:val="36"/>
        </w:rPr>
        <w:t xml:space="preserve">2. Architecture</w:t>
      </w:r>
    </w:p>
    <w:p>
      <w:pPr>
        <w:spacing w:before="80" w:after="120"/>
      </w:pPr>
      <w:r>
        <w:rPr>
          <w:rFonts w:ascii="Arial" w:cs="Arial" w:eastAsia="Arial" w:hAnsi="Arial"/>
          <w:sz w:val="22"/>
          <w:szCs w:val="22"/>
        </w:rPr>
        <w:t xml:space="preserve">Mobile MCP employs a hybrid transport model that separates the handshake phase (which requires inter-app communication) from the session phase (which benefits from a low-latency channel).</w:t>
      </w:r>
    </w:p>
    <w:p>
      <w:pPr>
        <w:pStyle w:val="Heading2"/>
        <w:spacing w:before="300" w:after="120"/>
      </w:pPr>
      <w:r>
        <w:rPr>
          <w:rFonts w:ascii="Arial" w:cs="Arial" w:eastAsia="Arial" w:hAnsi="Arial"/>
          <w:b/>
          <w:bCs/>
          <w:color w:val="2E75B6"/>
          <w:sz w:val="28"/>
          <w:szCs w:val="28"/>
        </w:rPr>
        <w:t xml:space="preserve">2.1 Transport Layers</w:t>
      </w:r>
    </w:p>
    <w:p>
      <w:pPr>
        <w:pStyle w:val="Heading3"/>
        <w:spacing w:before="200" w:after="100"/>
      </w:pPr>
      <w:r>
        <w:rPr>
          <w:rFonts w:ascii="Arial" w:cs="Arial" w:eastAsia="Arial" w:hAnsi="Arial"/>
          <w:b/>
          <w:bCs/>
          <w:color w:val="404040"/>
          <w:sz w:val="24"/>
          <w:szCs w:val="24"/>
        </w:rPr>
        <w:t xml:space="preserve">Handshake — Deep Links</w:t>
      </w:r>
    </w:p>
    <w:p>
      <w:pPr>
        <w:spacing w:before="80" w:after="120"/>
      </w:pPr>
      <w:r>
        <w:rPr>
          <w:rFonts w:ascii="Arial" w:cs="Arial" w:eastAsia="Arial" w:hAnsi="Arial"/>
          <w:sz w:val="22"/>
          <w:szCs w:val="22"/>
        </w:rPr>
        <w:t xml:space="preserve">When a Host application wishes to connect to a Tool application, it encodes the connection parameters (WebSocket port, one-time session token) in a deep link and launches the Tool app. The Tool app's link handler extracts these parameters, presents a user consent dialog, and — upon approval — opens a local WebSocket back to the Host. The two-step exchange ensures that neither party can initiate a session unilaterally.</w:t>
      </w:r>
    </w:p>
    <w:p>
      <w:pPr>
        <w:spacing w:before="80" w:after="120"/>
      </w:pPr>
      <w:r>
        <w:rPr>
          <w:rFonts w:ascii="Arial" w:cs="Arial" w:eastAsia="Arial" w:hAnsi="Arial"/>
          <w:sz w:val="22"/>
          <w:szCs w:val="22"/>
        </w:rPr>
        <w:t xml:space="preserve">For production deployments, the specification strongly recommends App Links (Android) and Universal Links (iOS) over custom URL schemes. These HTTPS-based deep link variants are domain-ownership-verified by the mobile OS at install time, making link hijacking attacks structurally impossible without compromising the domain's DNS or TLS infrastructure.</w:t>
      </w:r>
    </w:p>
    <w:p>
      <w:pPr>
        <w:pStyle w:val="Heading3"/>
        <w:spacing w:before="200" w:after="100"/>
      </w:pPr>
      <w:r>
        <w:rPr>
          <w:rFonts w:ascii="Arial" w:cs="Arial" w:eastAsia="Arial" w:hAnsi="Arial"/>
          <w:b/>
          <w:bCs/>
          <w:color w:val="404040"/>
          <w:sz w:val="24"/>
          <w:szCs w:val="24"/>
        </w:rPr>
        <w:t xml:space="preserve">Session — Local WebSockets</w:t>
      </w:r>
    </w:p>
    <w:p>
      <w:pPr>
        <w:spacing w:before="80" w:after="120"/>
      </w:pPr>
      <w:r>
        <w:rPr>
          <w:rFonts w:ascii="Arial" w:cs="Arial" w:eastAsia="Arial" w:hAnsi="Arial"/>
          <w:sz w:val="22"/>
          <w:szCs w:val="22"/>
        </w:rPr>
        <w:t xml:space="preserve">Once the handshake completes, all tool listing and execution traffic flows over a localhost WebSocket server hosted inside the Tool application. This avoids the latency overhead of inter-app deep link round trips for each RPC call and provides a familiar request-response model compatible with the MCP JSON-RPC 2.0 wire format.</w:t>
      </w:r>
    </w:p>
    <w:p>
      <w:pPr>
        <w:pStyle w:val="Heading2"/>
        <w:spacing w:before="300" w:after="120"/>
      </w:pPr>
      <w:r>
        <w:rPr>
          <w:rFonts w:ascii="Arial" w:cs="Arial" w:eastAsia="Arial" w:hAnsi="Arial"/>
          <w:b/>
          <w:bCs/>
          <w:color w:val="2E75B6"/>
          <w:sz w:val="28"/>
          <w:szCs w:val="28"/>
        </w:rPr>
        <w:t xml:space="preserve">2.2 Identity Verification</w:t>
      </w:r>
    </w:p>
    <w:p>
      <w:pPr>
        <w:spacing w:before="80" w:after="120"/>
      </w:pPr>
      <w:r>
        <w:rPr>
          <w:rFonts w:ascii="Arial" w:cs="Arial" w:eastAsia="Arial" w:hAnsi="Arial"/>
          <w:sz w:val="22"/>
          <w:szCs w:val="22"/>
        </w:rPr>
        <w:t xml:space="preserve">Version 1.0 introduces automatic caller identity verification during the WebSocket handshake. On Android, the Tool app reads the calling application's package name from the ActivityManager and compares it against the value asserted in the handshake payload. On iOS, the equivalent check uses the bundle ID reported by the OS via the UIApplication API. This provides a defense-in-depth layer beyond token authentication: a malicious app that intercepts a session token still cannot impersonate a trusted host because the OS-reported identity will not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1A3A5C"/>
                <w:sz w:val="20"/>
                <w:szCs w:val="20"/>
              </w:rPr>
              <w:t xml:space="preserve">Handshake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Deep links (App Links / Universal Links preferred)</w:t>
            </w:r>
          </w:p>
        </w:tc>
      </w:tr>
      <w:tr>
        <w:tc>
          <w:tcPr>
            <w:tcW w:type="dxa" w:w="200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1A3A5C"/>
                <w:sz w:val="20"/>
                <w:szCs w:val="20"/>
              </w:rPr>
              <w:t xml:space="preserve">Session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Local WebSocket (JSON-RPC 2.0)</w:t>
            </w:r>
          </w:p>
        </w:tc>
      </w:tr>
      <w:tr>
        <w:tc>
          <w:tcPr>
            <w:tcW w:type="dxa" w:w="200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1A3A5C"/>
                <w:sz w:val="20"/>
                <w:szCs w:val="20"/>
              </w:rPr>
              <w:t xml:space="preserve">Auth</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One-time token + OS-verified caller identity</w:t>
            </w:r>
          </w:p>
        </w:tc>
      </w:tr>
      <w:tr>
        <w:tc>
          <w:tcPr>
            <w:tcW w:type="dxa" w:w="200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1A3A5C"/>
                <w:sz w:val="20"/>
                <w:szCs w:val="20"/>
              </w:rPr>
              <w:t xml:space="preserve">Storage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Platform secure enclave (KeyChain / Keystore)</w:t>
            </w:r>
          </w:p>
        </w:tc>
      </w:tr>
      <w:tr>
        <w:tc>
          <w:tcPr>
            <w:tcW w:type="dxa" w:w="200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1A3A5C"/>
                <w:sz w:val="20"/>
                <w:szCs w:val="20"/>
              </w:rPr>
              <w:t xml:space="preserve">Background</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Managed wake locks (iOS &amp; Android)</w:t>
            </w:r>
          </w:p>
        </w:tc>
      </w:tr>
    </w:tbl>
    <w:p>
      <w:pPr>
        <w:spacing w:before="80" w:after="200"/>
      </w:pPr>
    </w:p>
    <w:p>
      <w:pPr>
        <w:pBdr>
          <w:bottom w:val="single" w:color="2E75B6" w:sz="4" w:space="1"/>
        </w:pBdr>
        <w:spacing w:before="200" w:after="200"/>
      </w:pPr>
    </w:p>
    <w:p>
      <w:pPr>
        <w:pStyle w:val="Heading1"/>
        <w:spacing w:before="400" w:after="160"/>
      </w:pPr>
      <w:r>
        <w:rPr>
          <w:rFonts w:ascii="Arial" w:cs="Arial" w:eastAsia="Arial" w:hAnsi="Arial"/>
          <w:b/>
          <w:bCs/>
          <w:color w:val="1A3A5C"/>
          <w:sz w:val="36"/>
          <w:szCs w:val="36"/>
        </w:rPr>
        <w:t xml:space="preserve">3. Security Model</w:t>
      </w:r>
    </w:p>
    <w:p>
      <w:pPr>
        <w:spacing w:before="80" w:after="120"/>
      </w:pPr>
      <w:r>
        <w:rPr>
          <w:rFonts w:ascii="Arial" w:cs="Arial" w:eastAsia="Arial" w:hAnsi="Arial"/>
          <w:sz w:val="22"/>
          <w:szCs w:val="22"/>
        </w:rPr>
        <w:t xml:space="preserve">Security is a first-class design concern in Mobile MCP. The protocol provides four independent layers of protection, each mitigating a distinct threat vector.</w:t>
      </w:r>
    </w:p>
    <w:p>
      <w:pPr>
        <w:pStyle w:val="Heading2"/>
        <w:spacing w:before="300" w:after="120"/>
      </w:pPr>
      <w:r>
        <w:rPr>
          <w:rFonts w:ascii="Arial" w:cs="Arial" w:eastAsia="Arial" w:hAnsi="Arial"/>
          <w:b/>
          <w:bCs/>
          <w:color w:val="2E75B6"/>
          <w:sz w:val="28"/>
          <w:szCs w:val="28"/>
        </w:rPr>
        <w:t xml:space="preserve">3.1 Transport Security — App/Universal Links</w:t>
      </w:r>
    </w:p>
    <w:p>
      <w:pPr>
        <w:spacing w:before="80" w:after="120"/>
      </w:pPr>
      <w:r>
        <w:rPr>
          <w:rFonts w:ascii="Arial" w:cs="Arial" w:eastAsia="Arial" w:hAnsi="Arial"/>
          <w:sz w:val="22"/>
          <w:szCs w:val="22"/>
        </w:rPr>
        <w:t xml:space="preserve">Enabling strictTransport: true forces all handshake deep links to use HTTPS-verified App Links or Universal Links. Since the mobile OS validates domain ownership at install time via the apple-app-site-association (iOS) or assetlinks.json (Android) files, an attacker cannot intercept the handshake simply by registering the same custom URL scheme. This is the single most impactful security configuration change available to developers.</w:t>
      </w:r>
    </w:p>
    <w:p>
      <w:pPr>
        <w:pStyle w:val="Heading2"/>
        <w:spacing w:before="300" w:after="120"/>
      </w:pPr>
      <w:r>
        <w:rPr>
          <w:rFonts w:ascii="Arial" w:cs="Arial" w:eastAsia="Arial" w:hAnsi="Arial"/>
          <w:b/>
          <w:bCs/>
          <w:color w:val="2E75B6"/>
          <w:sz w:val="28"/>
          <w:szCs w:val="28"/>
        </w:rPr>
        <w:t xml:space="preserve">3.2 Token Authentication</w:t>
      </w:r>
    </w:p>
    <w:p>
      <w:pPr>
        <w:spacing w:before="80" w:after="120"/>
      </w:pPr>
      <w:r>
        <w:rPr>
          <w:rFonts w:ascii="Arial" w:cs="Arial" w:eastAsia="Arial" w:hAnsi="Arial"/>
          <w:sz w:val="22"/>
          <w:szCs w:val="22"/>
        </w:rPr>
        <w:t xml:space="preserve">Each session begins with the Host generating a cryptographically random one-time session token. This token is transmitted via the deep link handshake and must be presented by the Tool app when opening the WebSocket connection. Subsequent reconnections by approved Host apps reuse a stored pairing token rather than repeating the consent flow, reducing friction for recurring interactions while maintaining session integrity.</w:t>
      </w:r>
    </w:p>
    <w:p>
      <w:pPr>
        <w:pStyle w:val="Heading2"/>
        <w:spacing w:before="300" w:after="120"/>
      </w:pPr>
      <w:r>
        <w:rPr>
          <w:rFonts w:ascii="Arial" w:cs="Arial" w:eastAsia="Arial" w:hAnsi="Arial"/>
          <w:b/>
          <w:bCs/>
          <w:color w:val="2E75B6"/>
          <w:sz w:val="28"/>
          <w:szCs w:val="28"/>
        </w:rPr>
        <w:t xml:space="preserve">3.3 Caller Identity Verification</w:t>
      </w:r>
    </w:p>
    <w:p>
      <w:pPr>
        <w:spacing w:before="80" w:after="120"/>
      </w:pPr>
      <w:r>
        <w:rPr>
          <w:rFonts w:ascii="Arial" w:cs="Arial" w:eastAsia="Arial" w:hAnsi="Arial"/>
          <w:sz w:val="22"/>
          <w:szCs w:val="22"/>
        </w:rPr>
        <w:t xml:space="preserve">The automatically verified package name and bundle ID serve as a strong identity anchor. Developers can further restrict connectivity by providing a trustedHostPackages allowlist to McpTool, ensuring that only pre-approved Host applications — identified by their OS-assigned package identity — can establish sessions.</w:t>
      </w:r>
    </w:p>
    <w:p>
      <w:pPr>
        <w:pStyle w:val="Heading2"/>
        <w:spacing w:before="300" w:after="120"/>
      </w:pPr>
      <w:r>
        <w:rPr>
          <w:rFonts w:ascii="Arial" w:cs="Arial" w:eastAsia="Arial" w:hAnsi="Arial"/>
          <w:b/>
          <w:bCs/>
          <w:color w:val="2E75B6"/>
          <w:sz w:val="28"/>
          <w:szCs w:val="28"/>
        </w:rPr>
        <w:t xml:space="preserve">3.4 Secure Storage</w:t>
      </w:r>
    </w:p>
    <w:p>
      <w:pPr>
        <w:spacing w:before="80" w:after="120"/>
      </w:pPr>
      <w:r>
        <w:rPr>
          <w:rFonts w:ascii="Arial" w:cs="Arial" w:eastAsia="Arial" w:hAnsi="Arial"/>
          <w:sz w:val="22"/>
          <w:szCs w:val="22"/>
        </w:rPr>
        <w:t xml:space="preserve">Session and pairing tokens are stored using SecureMcpStorage, which delegates to the platform's native secure enclave: the iOS Keychain and the Android Keystore. Both backends provide hardware-backed encryption on modern devices, protecting tokens against offline extraction attacks even on devices with accessible storage partitions.</w:t>
      </w:r>
    </w:p>
    <w:p>
      <w:pPr>
        <w:pStyle w:val="Heading2"/>
        <w:spacing w:before="300" w:after="120"/>
      </w:pPr>
      <w:r>
        <w:rPr>
          <w:rFonts w:ascii="Arial" w:cs="Arial" w:eastAsia="Arial" w:hAnsi="Arial"/>
          <w:b/>
          <w:bCs/>
          <w:color w:val="2E75B6"/>
          <w:sz w:val="28"/>
          <w:szCs w:val="28"/>
        </w:rPr>
        <w:t xml:space="preserve">3.5 User Consent</w:t>
      </w:r>
    </w:p>
    <w:p>
      <w:pPr>
        <w:spacing w:before="80" w:after="120"/>
      </w:pPr>
      <w:r>
        <w:rPr>
          <w:rFonts w:ascii="Arial" w:cs="Arial" w:eastAsia="Arial" w:hAnsi="Arial"/>
          <w:sz w:val="22"/>
          <w:szCs w:val="22"/>
        </w:rPr>
        <w:t xml:space="preserve">Before any Host app can call tools, the user must explicitly approve the connection through a consent dialog rendered by the Tool app. The specification mandates that this dialog display the requesting application's name, its OS-verified package identifier, and a clear warning about the risks of granting data access to AI applications. This human-in-the-loop gate is the final safeguard against fully automated, unauthorized tool access.</w:t>
      </w:r>
    </w:p>
    <w:p>
      <w:pPr>
        <w:pBdr>
          <w:bottom w:val="single" w:color="2E75B6" w:sz="4" w:space="1"/>
        </w:pBdr>
        <w:spacing w:before="200" w:after="200"/>
      </w:pPr>
    </w:p>
    <w:p>
      <w:pPr>
        <w:pStyle w:val="Heading1"/>
        <w:spacing w:before="400" w:after="160"/>
      </w:pPr>
      <w:r>
        <w:rPr>
          <w:rFonts w:ascii="Arial" w:cs="Arial" w:eastAsia="Arial" w:hAnsi="Arial"/>
          <w:b/>
          <w:bCs/>
          <w:color w:val="1A3A5C"/>
          <w:sz w:val="36"/>
          <w:szCs w:val="36"/>
        </w:rPr>
        <w:t xml:space="preserve">4. Developer Experience</w:t>
      </w:r>
    </w:p>
    <w:p>
      <w:pPr>
        <w:pStyle w:val="Heading2"/>
        <w:spacing w:before="300" w:after="120"/>
      </w:pPr>
      <w:r>
        <w:rPr>
          <w:rFonts w:ascii="Arial" w:cs="Arial" w:eastAsia="Arial" w:hAnsi="Arial"/>
          <w:b/>
          <w:bCs/>
          <w:color w:val="2E75B6"/>
          <w:sz w:val="28"/>
          <w:szCs w:val="28"/>
        </w:rPr>
        <w:t xml:space="preserve">4.1 Tool Registration API</w:t>
      </w:r>
    </w:p>
    <w:p>
      <w:pPr>
        <w:spacing w:before="80" w:after="120"/>
      </w:pPr>
      <w:r>
        <w:rPr>
          <w:rFonts w:ascii="Arial" w:cs="Arial" w:eastAsia="Arial" w:hAnsi="Arial"/>
          <w:sz w:val="22"/>
          <w:szCs w:val="22"/>
        </w:rPr>
        <w:t xml:space="preserve">The Tool-side API is intentionally minimal. Developers call registerTool with a McpToolDefinition (name, description, JSON Schema for inputs) and an async handler function. The handler receives a typed argument map and returns a list of result objects. The framework handles all serialization, WebSocket framing, and error propagation transparently.</w:t>
      </w:r>
    </w:p>
    <w:p>
      <w:pPr>
        <w:pStyle w:val="Heading2"/>
        <w:spacing w:before="300" w:after="120"/>
      </w:pPr>
      <w:r>
        <w:rPr>
          <w:rFonts w:ascii="Arial" w:cs="Arial" w:eastAsia="Arial" w:hAnsi="Arial"/>
          <w:b/>
          <w:bCs/>
          <w:color w:val="2E75B6"/>
          <w:sz w:val="28"/>
          <w:szCs w:val="28"/>
        </w:rPr>
        <w:t xml:space="preserve">4.2 Host Consumption API</w:t>
      </w:r>
    </w:p>
    <w:p>
      <w:pPr>
        <w:spacing w:before="80" w:after="120"/>
      </w:pPr>
      <w:r>
        <w:rPr>
          <w:rFonts w:ascii="Arial" w:cs="Arial" w:eastAsia="Arial" w:hAnsi="Arial"/>
          <w:sz w:val="22"/>
          <w:szCs w:val="22"/>
        </w:rPr>
        <w:t xml:space="preserve">From the Host perspective, discovered tools surface through an onToolRegistered stream. Executing a tool requires only the Tool app's URL scheme, the tool name, and an argument map. The framework manages connection lifecycle, including automatically re-launching a suspended Tool app via deep link if the WebSocket drops.</w:t>
      </w:r>
    </w:p>
    <w:p>
      <w:pPr>
        <w:pStyle w:val="Heading2"/>
        <w:spacing w:before="300" w:after="120"/>
      </w:pPr>
      <w:r>
        <w:rPr>
          <w:rFonts w:ascii="Arial" w:cs="Arial" w:eastAsia="Arial" w:hAnsi="Arial"/>
          <w:b/>
          <w:bCs/>
          <w:color w:val="2E75B6"/>
          <w:sz w:val="28"/>
          <w:szCs w:val="28"/>
        </w:rPr>
        <w:t xml:space="preserve">4.3 Background Execution</w:t>
      </w:r>
    </w:p>
    <w:p>
      <w:pPr>
        <w:spacing w:before="80" w:after="120"/>
      </w:pPr>
      <w:r>
        <w:rPr>
          <w:rFonts w:ascii="Arial" w:cs="Arial" w:eastAsia="Arial" w:hAnsi="Arial"/>
          <w:sz w:val="22"/>
          <w:szCs w:val="22"/>
        </w:rPr>
        <w:t xml:space="preserve">Long-running tool calls — such as database queries, network requests, or file I/O — are protected by the framework's automatic background task management. On iOS, a UIBackgroundTaskIdentifier is acquired before the call begins and released upon completion. On Android, a WakeLock is held for the call's duration. Developers need not implement any platform-specific lifecycle code to benefit from this protection.</w:t>
      </w:r>
    </w:p>
    <w:p>
      <w:pPr>
        <w:pStyle w:val="Heading2"/>
        <w:spacing w:before="300" w:after="120"/>
      </w:pPr>
      <w:r>
        <w:rPr>
          <w:rFonts w:ascii="Arial" w:cs="Arial" w:eastAsia="Arial" w:hAnsi="Arial"/>
          <w:b/>
          <w:bCs/>
          <w:color w:val="2E75B6"/>
          <w:sz w:val="28"/>
          <w:szCs w:val="28"/>
        </w:rPr>
        <w:t xml:space="preserve">4.4 Cross-Platform Compatibility</w:t>
      </w:r>
    </w:p>
    <w:p>
      <w:pPr>
        <w:spacing w:before="80" w:after="120"/>
      </w:pPr>
      <w:r>
        <w:rPr>
          <w:rFonts w:ascii="Arial" w:cs="Arial" w:eastAsia="Arial" w:hAnsi="Arial"/>
          <w:sz w:val="22"/>
          <w:szCs w:val="22"/>
        </w:rPr>
        <w:t xml:space="preserve">Because Mobile MCP is built on Flutter and Dart, a single codebase supports both iOS and Android. Platform-specific logic — identity verification, secure storage, background execution — is encapsulated within the package and exposed through a unified Dart API. This substantially reduces the integration burden for teams targeting both platforms.</w:t>
      </w:r>
    </w:p>
    <w:p>
      <w:pPr>
        <w:pBdr>
          <w:bottom w:val="single" w:color="2E75B6" w:sz="4" w:space="1"/>
        </w:pBdr>
        <w:spacing w:before="200" w:after="200"/>
      </w:pPr>
    </w:p>
    <w:p>
      <w:pPr>
        <w:pStyle w:val="Heading1"/>
        <w:spacing w:before="400" w:after="160"/>
      </w:pPr>
      <w:r>
        <w:rPr>
          <w:rFonts w:ascii="Arial" w:cs="Arial" w:eastAsia="Arial" w:hAnsi="Arial"/>
          <w:b/>
          <w:bCs/>
          <w:color w:val="1A3A5C"/>
          <w:sz w:val="36"/>
          <w:szCs w:val="36"/>
        </w:rPr>
        <w:t xml:space="preserve">5. Limitations and Open Questions</w:t>
      </w:r>
    </w:p>
    <w:p>
      <w:pPr>
        <w:pStyle w:val="Heading2"/>
        <w:spacing w:before="300" w:after="120"/>
      </w:pPr>
      <w:r>
        <w:rPr>
          <w:rFonts w:ascii="Arial" w:cs="Arial" w:eastAsia="Arial" w:hAnsi="Arial"/>
          <w:b/>
          <w:bCs/>
          <w:color w:val="2E75B6"/>
          <w:sz w:val="28"/>
          <w:szCs w:val="28"/>
        </w:rPr>
        <w:t xml:space="preserve">5.1 OS-Level Background Restrictions</w:t>
      </w:r>
    </w:p>
    <w:p>
      <w:pPr>
        <w:spacing w:before="80" w:after="120"/>
      </w:pPr>
      <w:r>
        <w:rPr>
          <w:rFonts w:ascii="Arial" w:cs="Arial" w:eastAsia="Arial" w:hAnsi="Arial"/>
          <w:sz w:val="22"/>
          <w:szCs w:val="22"/>
        </w:rPr>
        <w:t xml:space="preserve">Despite background task management, aggressive low-memory conditions or OS policy updates may still result in Tool app termination before a tool call completes. The automatic reconnection mechanism mitigates but does not eliminate this risk. Developers of latency-sensitive tools should implement idempotent handlers and expose progress state where possible.</w:t>
      </w:r>
    </w:p>
    <w:p>
      <w:pPr>
        <w:pStyle w:val="Heading2"/>
        <w:spacing w:before="300" w:after="120"/>
      </w:pPr>
      <w:r>
        <w:rPr>
          <w:rFonts w:ascii="Arial" w:cs="Arial" w:eastAsia="Arial" w:hAnsi="Arial"/>
          <w:b/>
          <w:bCs/>
          <w:color w:val="2E75B6"/>
          <w:sz w:val="28"/>
          <w:szCs w:val="28"/>
        </w:rPr>
        <w:t xml:space="preserve">5.2 Deep Link Reliability</w:t>
      </w:r>
    </w:p>
    <w:p>
      <w:pPr>
        <w:spacing w:before="80" w:after="120"/>
      </w:pPr>
      <w:r>
        <w:rPr>
          <w:rFonts w:ascii="Arial" w:cs="Arial" w:eastAsia="Arial" w:hAnsi="Arial"/>
          <w:sz w:val="22"/>
          <w:szCs w:val="22"/>
        </w:rPr>
        <w:t xml:space="preserve">The handshake depends on the OS correctly routing deep links to the intended application. Misconfigured intent filters (Android) or entitlement mismatches (iOS) are a common source of integration failures. Thorough platform configuration testing is essential before production deployment.</w:t>
      </w:r>
    </w:p>
    <w:p>
      <w:pPr>
        <w:pStyle w:val="Heading2"/>
        <w:spacing w:before="300" w:after="120"/>
      </w:pPr>
      <w:r>
        <w:rPr>
          <w:rFonts w:ascii="Arial" w:cs="Arial" w:eastAsia="Arial" w:hAnsi="Arial"/>
          <w:b/>
          <w:bCs/>
          <w:color w:val="2E75B6"/>
          <w:sz w:val="28"/>
          <w:szCs w:val="28"/>
        </w:rPr>
        <w:t xml:space="preserve">5.3 Trust Bootstrapping</w:t>
      </w:r>
    </w:p>
    <w:p>
      <w:pPr>
        <w:spacing w:before="80" w:after="120"/>
      </w:pPr>
      <w:r>
        <w:rPr>
          <w:rFonts w:ascii="Arial" w:cs="Arial" w:eastAsia="Arial" w:hAnsi="Arial"/>
          <w:sz w:val="22"/>
          <w:szCs w:val="22"/>
        </w:rPr>
        <w:t xml:space="preserve">The consent model assumes that users can meaningfully evaluate the risk of allowing a specific Host application to call tools in a specific Tool application. In practice, users may approve connections without fully understanding the implications. Future versions of the specification could introduce more granular, per-tool permission grants rather than a coarse per-Host approval.</w:t>
      </w:r>
    </w:p>
    <w:p>
      <w:pPr>
        <w:pStyle w:val="Heading2"/>
        <w:spacing w:before="300" w:after="120"/>
      </w:pPr>
      <w:r>
        <w:rPr>
          <w:rFonts w:ascii="Arial" w:cs="Arial" w:eastAsia="Arial" w:hAnsi="Arial"/>
          <w:b/>
          <w:bCs/>
          <w:color w:val="2E75B6"/>
          <w:sz w:val="28"/>
          <w:szCs w:val="28"/>
        </w:rPr>
        <w:t xml:space="preserve">5.4 Multi-Host Topologies</w:t>
      </w:r>
    </w:p>
    <w:p>
      <w:pPr>
        <w:spacing w:before="80" w:after="120"/>
      </w:pPr>
      <w:r>
        <w:rPr>
          <w:rFonts w:ascii="Arial" w:cs="Arial" w:eastAsia="Arial" w:hAnsi="Arial"/>
          <w:sz w:val="22"/>
          <w:szCs w:val="22"/>
        </w:rPr>
        <w:t xml:space="preserve">The current design appears optimized for a single Host connecting to multiple Tool apps. Scenarios involving multiple concurrent Host apps, or Tool apps that need to push events to Hosts (rather than responding to explicit calls), are not directly addressed in the v1.0 specification.</w:t>
      </w:r>
    </w:p>
    <w:p>
      <w:pPr>
        <w:pBdr>
          <w:bottom w:val="single" w:color="2E75B6" w:sz="4" w:space="1"/>
        </w:pBdr>
        <w:spacing w:before="200" w:after="200"/>
      </w:pPr>
    </w:p>
    <w:p>
      <w:pPr>
        <w:pStyle w:val="Heading1"/>
        <w:spacing w:before="400" w:after="160"/>
      </w:pPr>
      <w:r>
        <w:rPr>
          <w:rFonts w:ascii="Arial" w:cs="Arial" w:eastAsia="Arial" w:hAnsi="Arial"/>
          <w:b/>
          <w:bCs/>
          <w:color w:val="1A3A5C"/>
          <w:sz w:val="36"/>
          <w:szCs w:val="36"/>
        </w:rPr>
        <w:t xml:space="preserve">6. Ecosystem Positioning</w:t>
      </w:r>
    </w:p>
    <w:p>
      <w:pPr>
        <w:spacing w:before="80" w:after="120"/>
      </w:pPr>
      <w:r>
        <w:rPr>
          <w:rFonts w:ascii="Arial" w:cs="Arial" w:eastAsia="Arial" w:hAnsi="Arial"/>
          <w:sz w:val="22"/>
          <w:szCs w:val="22"/>
        </w:rPr>
        <w:t xml:space="preserve">Mobile MCP occupies an interesting position at the intersection of two trends: the rapid deployment of on-device LLM inference (Apple Intelligence, Google Gemini Nano, etc.) and the emerging standardization of LLM tool interfaces. By bringing MCP compatibility to mobile, the package enables a class of cross-app AI workflows that would otherwise require bespoke integration agreements between application developers.</w:t>
      </w:r>
    </w:p>
    <w:p>
      <w:pPr>
        <w:spacing w:before="80" w:after="120"/>
      </w:pPr>
      <w:r>
        <w:rPr>
          <w:rFonts w:ascii="Arial" w:cs="Arial" w:eastAsia="Arial" w:hAnsi="Arial"/>
          <w:sz w:val="22"/>
          <w:szCs w:val="22"/>
        </w:rPr>
        <w:t xml:space="preserve">Potential high-value use cases include AI assistants that can read and write calendar events, compose and send messages, query health records, initiate payments, and interact with productivity applications — all without requiring those applications to be rewritten for AI-native interfaces. The Tool app model is particularly well-suited to existing applications that wish to expose AI-callable capabilities incrementally, without restructuring their core architecture.</w:t>
      </w:r>
    </w:p>
    <w:p>
      <w:pPr>
        <w:spacing w:before="80" w:after="120"/>
      </w:pPr>
      <w:r>
        <w:rPr>
          <w:rFonts w:ascii="Arial" w:cs="Arial" w:eastAsia="Arial" w:hAnsi="Arial"/>
          <w:sz w:val="22"/>
          <w:szCs w:val="22"/>
        </w:rPr>
        <w:t xml:space="preserve">The project's adoption will depend significantly on ecosystem buy-in: the value of a universal discovery protocol increases proportionally with the number of Tool apps that implement it. Anthropic's MCP has demonstrated traction in the desktop and server ecosystem; whether that momentum translates to mobile remains to be seen.</w:t>
      </w:r>
    </w:p>
    <w:p>
      <w:pPr>
        <w:pBdr>
          <w:bottom w:val="single" w:color="2E75B6" w:sz="4" w:space="1"/>
        </w:pBdr>
        <w:spacing w:before="200" w:after="200"/>
      </w:pPr>
    </w:p>
    <w:p>
      <w:pPr>
        <w:pStyle w:val="Heading1"/>
        <w:spacing w:before="400" w:after="160"/>
      </w:pPr>
      <w:r>
        <w:rPr>
          <w:rFonts w:ascii="Arial" w:cs="Arial" w:eastAsia="Arial" w:hAnsi="Arial"/>
          <w:b/>
          <w:bCs/>
          <w:color w:val="1A3A5C"/>
          <w:sz w:val="36"/>
          <w:szCs w:val="36"/>
        </w:rPr>
        <w:t xml:space="preserve">7. Conclusions</w:t>
      </w:r>
    </w:p>
    <w:p>
      <w:pPr>
        <w:spacing w:before="80" w:after="120"/>
      </w:pPr>
      <w:r>
        <w:rPr>
          <w:rFonts w:ascii="Arial" w:cs="Arial" w:eastAsia="Arial" w:hAnsi="Arial"/>
          <w:sz w:val="22"/>
          <w:szCs w:val="22"/>
        </w:rPr>
        <w:t xml:space="preserve">Mobile MCP is a well-considered adaptation of a desktop protocol to a fundamentally different execution environment. Its hybrid transport model, layered security design, and background execution management collectively address the principal technical obstacles to secure cross-app AI tool orchestration on mobile. The developer API is appropriately minimal and the security defaults are strong, with the most critical production hardening steps (App/Universal Links, trusted package allowlists) clearly documented.</w:t>
      </w:r>
    </w:p>
    <w:p>
      <w:pPr>
        <w:spacing w:before="80" w:after="120"/>
      </w:pPr>
      <w:r>
        <w:rPr>
          <w:rFonts w:ascii="Arial" w:cs="Arial" w:eastAsia="Arial" w:hAnsi="Arial"/>
          <w:sz w:val="22"/>
          <w:szCs w:val="22"/>
        </w:rPr>
        <w:t xml:space="preserve">The primary uncertainties are ecosystem adoption and the robustness of background execution under real-world OS conditions. Teams evaluating Mobile MCP for production use should prioritize thorough platform configuration testing, implement idempotent tool handlers, and ensure that consent dialogs communicate meaningful information to end users.</w:t>
      </w:r>
    </w:p>
    <w:p>
      <w:pPr>
        <w:spacing w:before="80" w:after="120"/>
      </w:pPr>
      <w:r>
        <w:rPr>
          <w:rFonts w:ascii="Arial" w:cs="Arial" w:eastAsia="Arial" w:hAnsi="Arial"/>
          <w:sz w:val="22"/>
          <w:szCs w:val="22"/>
        </w:rPr>
        <w:t xml:space="preserve">As on-device AI capabilities continue to mature, protocols like Mobile MCP will play an increasingly important role in defining how AI agents interact with the broader mobile software ecosystem. The v1.0 release establishes a credible technical foundation for that future.</w:t>
      </w:r>
    </w:p>
    <w:p>
      <w:pPr>
        <w:pBdr>
          <w:bottom w:val="single" w:color="2E75B6" w:sz="4" w:space="1"/>
        </w:pBdr>
        <w:spacing w:before="200" w:after="200"/>
      </w:pPr>
    </w:p>
    <w:p>
      <w:pPr>
        <w:pStyle w:val="Heading1"/>
        <w:spacing w:before="400" w:after="160"/>
      </w:pPr>
      <w:r>
        <w:rPr>
          <w:rFonts w:ascii="Arial" w:cs="Arial" w:eastAsia="Arial" w:hAnsi="Arial"/>
          <w:b/>
          <w:bCs/>
          <w:color w:val="1A3A5C"/>
          <w:sz w:val="36"/>
          <w:szCs w:val="36"/>
        </w:rPr>
        <w:t xml:space="preserve">References &amp; Further Reading</w:t>
      </w:r>
    </w:p>
    <w:p>
      <w:pPr>
        <w:pStyle w:val="ListParagraph"/>
        <w:numPr>
          <w:ilvl w:val="0"/>
          <w:numId w:val="2"/>
        </w:numPr>
        <w:spacing w:before="60" w:after="60"/>
      </w:pPr>
      <w:r>
        <w:rPr>
          <w:rFonts w:ascii="Arial" w:cs="Arial" w:eastAsia="Arial" w:hAnsi="Arial"/>
          <w:sz w:val="22"/>
          <w:szCs w:val="22"/>
        </w:rPr>
        <w:t xml:space="preserve">Anthropic. Model Context Protocol Specification. https://modelcontextprotocol.io</w:t>
      </w:r>
    </w:p>
    <w:p>
      <w:pPr>
        <w:pStyle w:val="ListParagraph"/>
        <w:numPr>
          <w:ilvl w:val="0"/>
          <w:numId w:val="2"/>
        </w:numPr>
        <w:spacing w:before="60" w:after="60"/>
      </w:pPr>
      <w:r>
        <w:rPr>
          <w:rFonts w:ascii="Arial" w:cs="Arial" w:eastAsia="Arial" w:hAnsi="Arial"/>
          <w:sz w:val="22"/>
          <w:szCs w:val="22"/>
        </w:rPr>
        <w:t xml:space="preserve">Mobile MCP Flutter Package. https://pub.dev/packages/mobile_mcp</w:t>
      </w:r>
    </w:p>
    <w:p>
      <w:pPr>
        <w:pStyle w:val="ListParagraph"/>
        <w:numPr>
          <w:ilvl w:val="0"/>
          <w:numId w:val="2"/>
        </w:numPr>
        <w:spacing w:before="60" w:after="60"/>
      </w:pPr>
      <w:r>
        <w:rPr>
          <w:rFonts w:ascii="Arial" w:cs="Arial" w:eastAsia="Arial" w:hAnsi="Arial"/>
          <w:sz w:val="22"/>
          <w:szCs w:val="22"/>
        </w:rPr>
        <w:t xml:space="preserve">Apple. Universal Links Documentation. developer.apple.com/ios/universal-links</w:t>
      </w:r>
    </w:p>
    <w:p>
      <w:pPr>
        <w:pStyle w:val="ListParagraph"/>
        <w:numPr>
          <w:ilvl w:val="0"/>
          <w:numId w:val="2"/>
        </w:numPr>
        <w:spacing w:before="60" w:after="60"/>
      </w:pPr>
      <w:r>
        <w:rPr>
          <w:rFonts w:ascii="Arial" w:cs="Arial" w:eastAsia="Arial" w:hAnsi="Arial"/>
          <w:sz w:val="22"/>
          <w:szCs w:val="22"/>
        </w:rPr>
        <w:t xml:space="preserve">Google. Android App Links. developer.android.com/training/app-links</w:t>
      </w:r>
    </w:p>
    <w:p>
      <w:pPr>
        <w:pStyle w:val="ListParagraph"/>
        <w:numPr>
          <w:ilvl w:val="0"/>
          <w:numId w:val="2"/>
        </w:numPr>
        <w:spacing w:before="60" w:after="60"/>
      </w:pPr>
      <w:r>
        <w:rPr>
          <w:rFonts w:ascii="Arial" w:cs="Arial" w:eastAsia="Arial" w:hAnsi="Arial"/>
          <w:sz w:val="22"/>
          <w:szCs w:val="22"/>
        </w:rPr>
        <w:t xml:space="preserve">Apple. iOS Keychain Services. developer.apple.com/documentation/security/keychain_services</w:t>
      </w:r>
    </w:p>
    <w:p>
      <w:pPr>
        <w:pStyle w:val="ListParagraph"/>
        <w:numPr>
          <w:ilvl w:val="0"/>
          <w:numId w:val="2"/>
        </w:numPr>
        <w:spacing w:before="60" w:after="60"/>
      </w:pPr>
      <w:r>
        <w:rPr>
          <w:rFonts w:ascii="Arial" w:cs="Arial" w:eastAsia="Arial" w:hAnsi="Arial"/>
          <w:sz w:val="22"/>
          <w:szCs w:val="22"/>
        </w:rPr>
        <w:t xml:space="preserve">Google. Android Keystore System. developer.android.com/training/articles/keystore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pPr>
    <w:r>
      <w:rPr>
        <w:rFonts w:ascii="Arial" w:cs="Arial" w:eastAsia="Arial" w:hAnsi="Arial"/>
        <w:color w:val="888888"/>
        <w:sz w:val="18"/>
        <w:szCs w:val="18"/>
      </w:rPr>
      <w:t xml:space="preserve">Confidential — Technical Research Document</w:t>
    </w:r>
    <w:r>
      <w:rPr>
        <w:rFonts w:ascii="Arial" w:cs="Arial" w:eastAsia="Arial" w:hAnsi="Arial"/>
        <w:color w:val="888888"/>
        <w:sz w:val="18"/>
        <w:szCs w:val="18"/>
      </w:rPr>
      <w:t xml:space="preserve">	Page </w:t>
    </w:r>
    <w:r>
      <w:rPr>
        <w:rFonts w:ascii="Arial" w:cs="Arial" w:eastAsia="Arial" w:hAnsi="Arial"/>
        <w:color w:val="888888"/>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888888"/>
        <w:sz w:val="18"/>
        <w:szCs w:val="18"/>
      </w:rPr>
      <w:t xml:space="preserve">Mobile MCP — Research &amp; Technical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2026-02-26T20:37:28.446Z</dcterms:created>
  <dcterms:modified xsi:type="dcterms:W3CDTF">2026-02-26T20:37:28.447Z</dcterms:modified>
</cp:coreProperties>
</file>

<file path=docProps/custom.xml><?xml version="1.0" encoding="utf-8"?>
<Properties xmlns="http://schemas.openxmlformats.org/officeDocument/2006/custom-properties" xmlns:vt="http://schemas.openxmlformats.org/officeDocument/2006/docPropsVTypes"/>
</file>