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56"/>
          <w:szCs w:val="56"/>
        </w:rPr>
        <w:t xml:space="preserve">AZE Language Profiler</w:t>
      </w:r>
    </w:p>
    <w:p>
      <w:pPr>
        <w:spacing w:after="40"/>
      </w:pPr>
      <w:r>
        <w:rPr>
          <w:color w:val="0F766E"/>
          <w:sz w:val="28"/>
          <w:szCs w:val="28"/>
        </w:rPr>
        <w:t xml:space="preserve">What exists, what's missing, and what to build next</w:t>
      </w:r>
    </w:p>
    <w:p>
      <w:pPr>
        <w:spacing w:after="320"/>
      </w:pPr>
      <w:r>
        <w:rPr>
          <w:i/>
          <w:iCs/>
          <w:color w:val="6B7280"/>
          <w:sz w:val="20"/>
          <w:szCs w:val="20"/>
        </w:rPr>
        <w:t xml:space="preserve">18 August 2026  ·  Prepared for Richard  ·  LENS project</w:t>
      </w:r>
    </w:p>
    <w:p>
      <w:pPr>
        <w:pStyle w:val="Heading1"/>
        <w:spacing w:after="160" w:before="320"/>
      </w:pPr>
      <w:r>
        <w:rPr>
          <w:b/>
          <w:bCs/>
          <w:color w:val="1F2937"/>
        </w:rPr>
        <w:t xml:space="preserve">1. Purpose of this document</w:t>
      </w:r>
    </w:p>
    <w:p>
      <w:pPr>
        <w:spacing w:after="160" w:line="300"/>
      </w:pPr>
      <w:r>
        <w:t xml:space="preserve">This brings together everything found while checking LENS, GSE_PROFILER, and gse-vercel-app against the AZE Language Profiler proposal — not against the plan, against the actual code. It replaces the gap list in the original proposal, which turned out to be a day out of date almost as soon as it was written: most of Vocabulary and Spelling was already built, just in a different codebase than the one the proposal assumed.</w:t>
      </w:r>
    </w:p>
    <w:p>
      <w:pPr>
        <w:spacing w:after="160" w:line="300"/>
      </w:pPr>
      <w:r>
        <w:t xml:space="preserve">Read this as the current source of truth: what already works, where it lives, and what's genuinely left to build.</w:t>
      </w:r>
    </w:p>
    <w:p>
      <w:pPr>
        <w:pStyle w:val="Heading1"/>
        <w:spacing w:after="160" w:before="320"/>
      </w:pPr>
      <w:r>
        <w:rPr>
          <w:b/>
          <w:bCs/>
          <w:color w:val="1F2937"/>
        </w:rPr>
        <w:t xml:space="preserve">2. The three systems, today</w:t>
      </w:r>
    </w:p>
    <w:p>
      <w:pPr>
        <w:spacing w:after="160" w:line="300"/>
      </w:pPr>
      <w:r>
        <w:t xml:space="preserve">There isn't one engine behind all of this — there are three, and they've grown apart faster than the documentation has kept up.</w:t>
      </w:r>
    </w:p>
    <w:tbl>
      <w:tblPr>
        <w:tblW w:type="dxa" w:w="10200"/>
        <w:tblBorders>
          <w:top w:val="single" w:color="D1D5DB" w:sz="4"/>
          <w:left w:val="single" w:color="D1D5DB" w:sz="4"/>
          <w:bottom w:val="single" w:color="D1D5DB" w:sz="4"/>
          <w:right w:val="single" w:color="D1D5DB" w:sz="4"/>
          <w:insideH w:val="single" w:color="E5E7EB" w:sz="4"/>
          <w:insideV w:val="single" w:color="E5E7EB" w:sz="4"/>
        </w:tblBorders>
      </w:tblPr>
      <w:tblGrid>
        <w:gridCol w:w="1800"/>
        <w:gridCol w:w="4200"/>
        <w:gridCol w:w="1800"/>
        <w:gridCol w:w="2400"/>
      </w:tblGrid>
      <w:tr>
        <w:trPr>
          <w:tblHeader/>
        </w:trPr>
        <w:tc>
          <w:tcPr>
            <w:tcW w:type="dxa" w:w="1800"/>
            <w:shd w:fill="1F2937" w:color="auto" w:val="clear"/>
            <w:tcMar>
              <w:top w:type="dxa" w:w="80"/>
              <w:left w:type="dxa" w:w="120"/>
              <w:bottom w:type="dxa" w:w="80"/>
              <w:right w:type="dxa" w:w="120"/>
            </w:tcMar>
            <w:vAlign w:val="center"/>
          </w:tcPr>
          <w:p>
            <w:r>
              <w:rPr>
                <w:b/>
                <w:bCs/>
                <w:color w:val="FFFFFF"/>
              </w:rPr>
              <w:t xml:space="preserve">System</w:t>
            </w:r>
          </w:p>
        </w:tc>
        <w:tc>
          <w:tcPr>
            <w:tcW w:type="dxa" w:w="4200"/>
            <w:shd w:fill="1F2937" w:color="auto" w:val="clear"/>
            <w:tcMar>
              <w:top w:type="dxa" w:w="80"/>
              <w:left w:type="dxa" w:w="120"/>
              <w:bottom w:type="dxa" w:w="80"/>
              <w:right w:type="dxa" w:w="120"/>
            </w:tcMar>
            <w:vAlign w:val="center"/>
          </w:tcPr>
          <w:p>
            <w:r>
              <w:rPr>
                <w:b/>
                <w:bCs/>
                <w:color w:val="FFFFFF"/>
              </w:rPr>
              <w:t xml:space="preserve">What it is</w:t>
            </w:r>
          </w:p>
        </w:tc>
        <w:tc>
          <w:tcPr>
            <w:tcW w:type="dxa" w:w="1800"/>
            <w:shd w:fill="1F2937" w:color="auto" w:val="clear"/>
            <w:tcMar>
              <w:top w:type="dxa" w:w="80"/>
              <w:left w:type="dxa" w:w="120"/>
              <w:bottom w:type="dxa" w:w="80"/>
              <w:right w:type="dxa" w:w="120"/>
            </w:tcMar>
            <w:vAlign w:val="center"/>
          </w:tcPr>
          <w:p>
            <w:r>
              <w:rPr>
                <w:b/>
                <w:bCs/>
                <w:color w:val="FFFFFF"/>
              </w:rPr>
              <w:t xml:space="preserve">Built in</w:t>
            </w:r>
          </w:p>
        </w:tc>
        <w:tc>
          <w:tcPr>
            <w:tcW w:type="dxa" w:w="2400"/>
            <w:shd w:fill="1F2937" w:color="auto" w:val="clear"/>
            <w:tcMar>
              <w:top w:type="dxa" w:w="80"/>
              <w:left w:type="dxa" w:w="120"/>
              <w:bottom w:type="dxa" w:w="80"/>
              <w:right w:type="dxa" w:w="120"/>
            </w:tcMar>
            <w:vAlign w:val="center"/>
          </w:tcPr>
          <w:p>
            <w:r>
              <w:rPr>
                <w:b/>
                <w:bCs/>
                <w:color w:val="FFFFFF"/>
              </w:rPr>
              <w:t xml:space="preserve">Status</w:t>
            </w:r>
          </w:p>
        </w:tc>
      </w:tr>
      <w:tr>
        <w:tc>
          <w:tcPr>
            <w:tcW w:type="dxa" w:w="1800"/>
            <w:tcMar>
              <w:top w:type="dxa" w:w="80"/>
              <w:left w:type="dxa" w:w="120"/>
              <w:bottom w:type="dxa" w:w="80"/>
              <w:right w:type="dxa" w:w="120"/>
            </w:tcMar>
            <w:vAlign w:val="center"/>
          </w:tcPr>
          <w:p>
            <w:r>
              <w:rPr>
                <w:b/>
                <w:bCs/>
              </w:rPr>
              <w:t xml:space="preserve">LENS</w:t>
            </w:r>
          </w:p>
          <w:p>
            <w:pPr>
              <w:spacing w:before="40"/>
            </w:pPr>
            <w:r>
              <w:rPr>
                <w:b w:val="false"/>
                <w:bCs w:val="false"/>
              </w:rPr>
              <w:t xml:space="preserve">(language-awareness-pipeline)</w:t>
            </w:r>
          </w:p>
        </w:tc>
        <w:tc>
          <w:tcPr>
            <w:tcW w:type="dxa" w:w="4200"/>
            <w:tcMar>
              <w:top w:type="dxa" w:w="80"/>
              <w:left w:type="dxa" w:w="120"/>
              <w:bottom w:type="dxa" w:w="80"/>
              <w:right w:type="dxa" w:w="120"/>
            </w:tcMar>
            <w:vAlign w:val="center"/>
          </w:tcPr>
          <w:p>
            <w:r>
              <w:rPr>
                <w:b w:val="false"/>
                <w:bCs w:val="false"/>
              </w:rPr>
              <w:t xml:space="preserve">The reference platform. Structure &amp; Function Explorers, the Text Analyser, and the Student Production Analyser. Produces evidence only — it never outputs a score, by design.</w:t>
            </w:r>
          </w:p>
        </w:tc>
        <w:tc>
          <w:tcPr>
            <w:tcW w:type="dxa" w:w="1800"/>
            <w:tcMar>
              <w:top w:type="dxa" w:w="80"/>
              <w:left w:type="dxa" w:w="120"/>
              <w:bottom w:type="dxa" w:w="80"/>
              <w:right w:type="dxa" w:w="120"/>
            </w:tcMar>
            <w:vAlign w:val="center"/>
          </w:tcPr>
          <w:p>
            <w:r>
              <w:rPr>
                <w:b w:val="false"/>
                <w:bCs w:val="false"/>
              </w:rPr>
              <w:t xml:space="preserve">TypeScript / Next.js</w:t>
            </w:r>
          </w:p>
        </w:tc>
        <w:tc>
          <w:tcPr>
            <w:tcW w:type="dxa" w:w="2400"/>
            <w:tcMar>
              <w:top w:type="dxa" w:w="80"/>
              <w:left w:type="dxa" w:w="120"/>
              <w:bottom w:type="dxa" w:w="80"/>
              <w:right w:type="dxa" w:w="120"/>
            </w:tcMar>
            <w:vAlign w:val="center"/>
          </w:tcPr>
          <w:p>
            <w:r>
              <w:rPr>
                <w:b w:val="false"/>
                <w:bCs w:val="false"/>
              </w:rPr>
              <w:t xml:space="preserve">Live. The only place grammar-structure detection exists anywhere — but only for correctly-formed structures.</w:t>
            </w:r>
          </w:p>
        </w:tc>
      </w:tr>
      <w:tr>
        <w:tc>
          <w:tcPr>
            <w:tcW w:type="dxa" w:w="1800"/>
            <w:shd w:fill="F3F4F6" w:color="auto" w:val="clear"/>
            <w:tcMar>
              <w:top w:type="dxa" w:w="80"/>
              <w:left w:type="dxa" w:w="120"/>
              <w:bottom w:type="dxa" w:w="80"/>
              <w:right w:type="dxa" w:w="120"/>
            </w:tcMar>
            <w:vAlign w:val="center"/>
          </w:tcPr>
          <w:p>
            <w:r>
              <w:rPr>
                <w:b/>
                <w:bCs/>
              </w:rPr>
              <w:t xml:space="preserve">GSE_PROFILER</w:t>
            </w:r>
          </w:p>
        </w:tc>
        <w:tc>
          <w:tcPr>
            <w:tcW w:type="dxa" w:w="4200"/>
            <w:shd w:fill="F3F4F6" w:color="auto" w:val="clear"/>
            <w:tcMar>
              <w:top w:type="dxa" w:w="80"/>
              <w:left w:type="dxa" w:w="120"/>
              <w:bottom w:type="dxa" w:w="80"/>
              <w:right w:type="dxa" w:w="120"/>
            </w:tcMar>
            <w:vAlign w:val="center"/>
          </w:tcPr>
          <w:p>
            <w:r>
              <w:rPr>
                <w:b w:val="false"/>
                <w:bCs w:val="false"/>
              </w:rPr>
              <w:t xml:space="preserve">The original vocabulary scoring tool. Runs locally from the command line.</w:t>
            </w:r>
          </w:p>
        </w:tc>
        <w:tc>
          <w:tcPr>
            <w:tcW w:type="dxa" w:w="1800"/>
            <w:shd w:fill="F3F4F6" w:color="auto" w:val="clear"/>
            <w:tcMar>
              <w:top w:type="dxa" w:w="80"/>
              <w:left w:type="dxa" w:w="120"/>
              <w:bottom w:type="dxa" w:w="80"/>
              <w:right w:type="dxa" w:w="120"/>
            </w:tcMar>
            <w:vAlign w:val="center"/>
          </w:tcPr>
          <w:p>
            <w:r>
              <w:rPr>
                <w:b w:val="false"/>
                <w:bCs w:val="false"/>
              </w:rPr>
              <w:t xml:space="preserve">Python</w:t>
            </w:r>
          </w:p>
        </w:tc>
        <w:tc>
          <w:tcPr>
            <w:tcW w:type="dxa" w:w="2400"/>
            <w:shd w:fill="F3F4F6" w:color="auto" w:val="clear"/>
            <w:tcMar>
              <w:top w:type="dxa" w:w="80"/>
              <w:left w:type="dxa" w:w="120"/>
              <w:bottom w:type="dxa" w:w="80"/>
              <w:right w:type="dxa" w:w="120"/>
            </w:tcMar>
            <w:vAlign w:val="center"/>
          </w:tcPr>
          <w:p>
            <w:r>
              <w:rPr>
                <w:b w:val="false"/>
                <w:bCs w:val="false"/>
              </w:rPr>
              <w:t xml:space="preserve">Superseded in practice — its engine was copied into gse-vercel-app and extended there.</w:t>
            </w:r>
          </w:p>
        </w:tc>
      </w:tr>
      <w:tr>
        <w:tc>
          <w:tcPr>
            <w:tcW w:type="dxa" w:w="1800"/>
            <w:tcMar>
              <w:top w:type="dxa" w:w="80"/>
              <w:left w:type="dxa" w:w="120"/>
              <w:bottom w:type="dxa" w:w="80"/>
              <w:right w:type="dxa" w:w="120"/>
            </w:tcMar>
            <w:vAlign w:val="center"/>
          </w:tcPr>
          <w:p>
            <w:r>
              <w:rPr>
                <w:b/>
                <w:bCs/>
              </w:rPr>
              <w:t xml:space="preserve">gse-vercel-app</w:t>
            </w:r>
          </w:p>
        </w:tc>
        <w:tc>
          <w:tcPr>
            <w:tcW w:type="dxa" w:w="4200"/>
            <w:tcMar>
              <w:top w:type="dxa" w:w="80"/>
              <w:left w:type="dxa" w:w="120"/>
              <w:bottom w:type="dxa" w:w="80"/>
              <w:right w:type="dxa" w:w="120"/>
            </w:tcMar>
            <w:vAlign w:val="center"/>
          </w:tcPr>
          <w:p>
            <w:r>
              <w:rPr>
                <w:b w:val="false"/>
                <w:bCs w:val="false"/>
              </w:rPr>
              <w:t xml:space="preserve">A vocabulary + spelling scoring tool, now with an AI-assisted “intent” layer and two competing 0–100 scoring models. Deployed and live on the web.</w:t>
            </w:r>
          </w:p>
        </w:tc>
        <w:tc>
          <w:tcPr>
            <w:tcW w:type="dxa" w:w="1800"/>
            <w:tcMar>
              <w:top w:type="dxa" w:w="80"/>
              <w:left w:type="dxa" w:w="120"/>
              <w:bottom w:type="dxa" w:w="80"/>
              <w:right w:type="dxa" w:w="120"/>
            </w:tcMar>
            <w:vAlign w:val="center"/>
          </w:tcPr>
          <w:p>
            <w:r>
              <w:rPr>
                <w:b w:val="false"/>
                <w:bCs w:val="false"/>
              </w:rPr>
              <w:t xml:space="preserve">Python (serverless) + Next.js frontend</w:t>
            </w:r>
          </w:p>
        </w:tc>
        <w:tc>
          <w:tcPr>
            <w:tcW w:type="dxa" w:w="2400"/>
            <w:tcMar>
              <w:top w:type="dxa" w:w="80"/>
              <w:left w:type="dxa" w:w="120"/>
              <w:bottom w:type="dxa" w:w="80"/>
              <w:right w:type="dxa" w:w="120"/>
            </w:tcMar>
            <w:vAlign w:val="center"/>
          </w:tcPr>
          <w:p>
            <w:r>
              <w:rPr>
                <w:b w:val="false"/>
                <w:bCs w:val="false"/>
              </w:rPr>
              <w:t xml:space="preserve">The most advanced of the three. Most of its code was built this week.</w:t>
            </w:r>
          </w:p>
        </w:tc>
      </w:tr>
    </w:tbl>
    <w:p>
      <w:pPr>
        <w:pBdr>
          <w:left w:val="single" w:color="0F766E" w:sz="12" w:space="8"/>
        </w:pBdr>
        <w:spacing w:after="200" w:line="300"/>
        <w:ind w:left="360"/>
      </w:pPr>
      <w:r>
        <w:rPr>
          <w:i/>
          <w:iCs/>
          <w:color w:val="374151"/>
        </w:rPr>
        <w:t xml:space="preserve">A naming issue worth fixing: gse-vercel-app's own README currently says its engine is “the LENS profiler copied verbatim.” It isn't. LENS is the separate TypeScript platform above. What was actually copied in is GSE_PROFILER, the Python vocabulary tool. Left uncorrected, this will eventually lead someone to assume gse-vercel-app inherited LENS's grammar detection along with its vocabulary engine — it never had any grammar detection to inherit.</w:t>
      </w:r>
    </w:p>
    <w:p>
      <w:pPr>
        <w:pStyle w:val="Heading1"/>
        <w:spacing w:after="160" w:before="320"/>
      </w:pPr>
      <w:r>
        <w:rPr>
          <w:b/>
          <w:bCs/>
          <w:color w:val="1F2937"/>
        </w:rPr>
        <w:t xml:space="preserve">3. What already exists, by dimension</w:t>
      </w:r>
    </w:p>
    <w:p>
      <w:pPr>
        <w:spacing w:after="160" w:line="300"/>
      </w:pPr>
      <w:r>
        <w:t xml:space="preserve">Checked directly against the code on 18 August 2026, not assumed from design docs.</w:t>
      </w:r>
    </w:p>
    <w:p>
      <w:pPr>
        <w:pStyle w:val="Heading2"/>
        <w:spacing w:after="120" w:before="240"/>
      </w:pPr>
      <w:r>
        <w:rPr>
          <w:b/>
          <w:bCs/>
          <w:color w:val="0F766E"/>
        </w:rPr>
        <w:t xml:space="preserve">Vocabulary</w:t>
      </w:r>
    </w:p>
    <w:tbl>
      <w:tblPr>
        <w:tblW w:type="dxa" w:w="9400"/>
        <w:tblBorders>
          <w:top w:val="single" w:color="D1D5DB" w:sz="4"/>
          <w:left w:val="single" w:color="D1D5DB" w:sz="4"/>
          <w:bottom w:val="single" w:color="D1D5DB" w:sz="4"/>
          <w:right w:val="single" w:color="D1D5DB" w:sz="4"/>
          <w:insideH w:val="single" w:color="E5E7EB" w:sz="4"/>
          <w:insideV w:val="single" w:color="E5E7EB" w:sz="4"/>
        </w:tblBorders>
      </w:tblPr>
      <w:tblGrid>
        <w:gridCol w:w="4400"/>
        <w:gridCol w:w="1400"/>
        <w:gridCol w:w="3600"/>
      </w:tblGrid>
      <w:tr>
        <w:trPr>
          <w:tblHeader/>
        </w:trPr>
        <w:tc>
          <w:tcPr>
            <w:tcW w:type="dxa" w:w="4400"/>
            <w:shd w:fill="1F2937" w:color="auto" w:val="clear"/>
            <w:tcMar>
              <w:top w:type="dxa" w:w="80"/>
              <w:left w:type="dxa" w:w="120"/>
              <w:bottom w:type="dxa" w:w="80"/>
              <w:right w:type="dxa" w:w="120"/>
            </w:tcMar>
            <w:vAlign w:val="center"/>
          </w:tcPr>
          <w:p>
            <w:r>
              <w:rPr>
                <w:b/>
                <w:bCs/>
                <w:color w:val="FFFFFF"/>
              </w:rPr>
              <w:t xml:space="preserve">Output</w:t>
            </w:r>
          </w:p>
        </w:tc>
        <w:tc>
          <w:tcPr>
            <w:tcW w:type="dxa" w:w="1400"/>
            <w:shd w:fill="1F2937" w:color="auto" w:val="clear"/>
            <w:tcMar>
              <w:top w:type="dxa" w:w="80"/>
              <w:left w:type="dxa" w:w="120"/>
              <w:bottom w:type="dxa" w:w="80"/>
              <w:right w:type="dxa" w:w="120"/>
            </w:tcMar>
            <w:vAlign w:val="center"/>
          </w:tcPr>
          <w:p>
            <w:r>
              <w:rPr>
                <w:b/>
                <w:bCs/>
                <w:color w:val="FFFFFF"/>
              </w:rPr>
              <w:t xml:space="preserve">Status</w:t>
            </w:r>
          </w:p>
        </w:tc>
        <w:tc>
          <w:tcPr>
            <w:tcW w:type="dxa" w:w="3600"/>
            <w:shd w:fill="1F2937" w:color="auto" w:val="clear"/>
            <w:tcMar>
              <w:top w:type="dxa" w:w="80"/>
              <w:left w:type="dxa" w:w="120"/>
              <w:bottom w:type="dxa" w:w="80"/>
              <w:right w:type="dxa" w:w="120"/>
            </w:tcMar>
            <w:vAlign w:val="center"/>
          </w:tcPr>
          <w:p>
            <w:r>
              <w:rPr>
                <w:b/>
                <w:bCs/>
                <w:color w:val="FFFFFF"/>
              </w:rPr>
              <w:t xml:space="preserve">Where it lives / notes</w:t>
            </w:r>
          </w:p>
        </w:tc>
      </w:tr>
      <w:tr>
        <w:tc>
          <w:tcPr>
            <w:tcW w:type="dxa" w:w="4400"/>
            <w:tcMar>
              <w:top w:type="dxa" w:w="80"/>
              <w:left w:type="dxa" w:w="120"/>
              <w:bottom w:type="dxa" w:w="80"/>
              <w:right w:type="dxa" w:w="120"/>
            </w:tcMar>
            <w:vAlign w:val="center"/>
          </w:tcPr>
          <w:p>
            <w:r>
              <w:t xml:space="preserve">1. Breakdown of vocabulary used</w:t>
            </w:r>
          </w:p>
        </w:tc>
        <w:tc>
          <w:tcPr>
            <w:tcW w:type="dxa" w:w="1400"/>
            <w:tcMar>
              <w:top w:type="dxa" w:w="80"/>
              <w:left w:type="dxa" w:w="120"/>
              <w:bottom w:type="dxa" w:w="80"/>
              <w:right w:type="dxa" w:w="120"/>
            </w:tcMar>
            <w:vAlign w:val="center"/>
          </w:tcPr>
          <w:p>
            <w:r>
              <w:rPr>
                <w:b/>
                <w:bCs/>
                <w:color w:val="15803D"/>
              </w:rPr>
              <w:t xml:space="preserve">Built</w:t>
            </w:r>
          </w:p>
        </w:tc>
        <w:tc>
          <w:tcPr>
            <w:tcW w:type="dxa" w:w="3600"/>
            <w:tcMar>
              <w:top w:type="dxa" w:w="80"/>
              <w:left w:type="dxa" w:w="120"/>
              <w:bottom w:type="dxa" w:w="80"/>
              <w:right w:type="dxa" w:w="120"/>
            </w:tcMar>
            <w:vAlign w:val="center"/>
          </w:tcPr>
          <w:p>
            <w:r>
              <w:t xml:space="preserve">LENS Production Analyser; gse-vercel-app</w:t>
            </w:r>
          </w:p>
        </w:tc>
      </w:tr>
      <w:tr>
        <w:tc>
          <w:tcPr>
            <w:tcW w:type="dxa" w:w="4400"/>
            <w:shd w:fill="F3F4F6" w:color="auto" w:val="clear"/>
            <w:tcMar>
              <w:top w:type="dxa" w:w="80"/>
              <w:left w:type="dxa" w:w="120"/>
              <w:bottom w:type="dxa" w:w="80"/>
              <w:right w:type="dxa" w:w="120"/>
            </w:tcMar>
            <w:vAlign w:val="center"/>
          </w:tcPr>
          <w:p>
            <w:r>
              <w:t xml:space="preserve">2. A corrected version of the script</w:t>
            </w:r>
          </w:p>
        </w:tc>
        <w:tc>
          <w:tcPr>
            <w:tcW w:type="dxa" w:w="1400"/>
            <w:shd w:fill="F3F4F6" w:color="auto" w:val="clear"/>
            <w:tcMar>
              <w:top w:type="dxa" w:w="80"/>
              <w:left w:type="dxa" w:w="120"/>
              <w:bottom w:type="dxa" w:w="80"/>
              <w:right w:type="dxa" w:w="120"/>
            </w:tcMar>
            <w:vAlign w:val="center"/>
          </w:tcPr>
          <w:p>
            <w:r>
              <w:rPr>
                <w:b/>
                <w:bCs/>
                <w:color w:val="15803D"/>
              </w:rPr>
              <w:t xml:space="preserve">Built</w:t>
            </w:r>
          </w:p>
        </w:tc>
        <w:tc>
          <w:tcPr>
            <w:tcW w:type="dxa" w:w="3600"/>
            <w:shd w:fill="F3F4F6" w:color="auto" w:val="clear"/>
            <w:tcMar>
              <w:top w:type="dxa" w:w="80"/>
              <w:left w:type="dxa" w:w="120"/>
              <w:bottom w:type="dxa" w:w="80"/>
              <w:right w:type="dxa" w:w="120"/>
            </w:tcMar>
            <w:vAlign w:val="center"/>
          </w:tcPr>
          <w:p>
            <w:r>
              <w:t xml:space="preserve">gse-vercel-app</w:t>
            </w:r>
          </w:p>
        </w:tc>
      </w:tr>
      <w:tr>
        <w:tc>
          <w:tcPr>
            <w:tcW w:type="dxa" w:w="4400"/>
            <w:tcMar>
              <w:top w:type="dxa" w:w="80"/>
              <w:left w:type="dxa" w:w="120"/>
              <w:bottom w:type="dxa" w:w="80"/>
              <w:right w:type="dxa" w:w="120"/>
            </w:tcMar>
            <w:vAlign w:val="center"/>
          </w:tcPr>
          <w:p>
            <w:r>
              <w:t xml:space="preserve">3. Confidence of the level, and a separate “stretch” level</w:t>
            </w:r>
          </w:p>
        </w:tc>
        <w:tc>
          <w:tcPr>
            <w:tcW w:type="dxa" w:w="1400"/>
            <w:tcMar>
              <w:top w:type="dxa" w:w="80"/>
              <w:left w:type="dxa" w:w="120"/>
              <w:bottom w:type="dxa" w:w="80"/>
              <w:right w:type="dxa" w:w="120"/>
            </w:tcMar>
            <w:vAlign w:val="center"/>
          </w:tcPr>
          <w:p>
            <w:r>
              <w:rPr>
                <w:b/>
                <w:bCs/>
                <w:color w:val="B45309"/>
              </w:rPr>
              <w:t xml:space="preserve">Partial</w:t>
            </w:r>
          </w:p>
        </w:tc>
        <w:tc>
          <w:tcPr>
            <w:tcW w:type="dxa" w:w="3600"/>
            <w:tcMar>
              <w:top w:type="dxa" w:w="80"/>
              <w:left w:type="dxa" w:w="120"/>
              <w:bottom w:type="dxa" w:w="80"/>
              <w:right w:type="dxa" w:w="120"/>
            </w:tcMar>
            <w:vAlign w:val="center"/>
          </w:tcPr>
          <w:p>
            <w:r>
              <w:t xml:space="preserve">gse-vercel-app has confidence; “stretch level” is not yet a defined concept anywhere</w:t>
            </w:r>
          </w:p>
        </w:tc>
      </w:tr>
      <w:tr>
        <w:tc>
          <w:tcPr>
            <w:tcW w:type="dxa" w:w="4400"/>
            <w:shd w:fill="F3F4F6" w:color="auto" w:val="clear"/>
            <w:tcMar>
              <w:top w:type="dxa" w:w="80"/>
              <w:left w:type="dxa" w:w="120"/>
              <w:bottom w:type="dxa" w:w="80"/>
              <w:right w:type="dxa" w:w="120"/>
            </w:tcMar>
            <w:vAlign w:val="center"/>
          </w:tcPr>
          <w:p>
            <w:r>
              <w:t xml:space="preserve">4. Full record of every word attempted</w:t>
            </w:r>
          </w:p>
        </w:tc>
        <w:tc>
          <w:tcPr>
            <w:tcW w:type="dxa" w:w="1400"/>
            <w:shd w:fill="F3F4F6" w:color="auto" w:val="clear"/>
            <w:tcMar>
              <w:top w:type="dxa" w:w="80"/>
              <w:left w:type="dxa" w:w="120"/>
              <w:bottom w:type="dxa" w:w="80"/>
              <w:right w:type="dxa" w:w="120"/>
            </w:tcMar>
            <w:vAlign w:val="center"/>
          </w:tcPr>
          <w:p>
            <w:r>
              <w:rPr>
                <w:b/>
                <w:bCs/>
                <w:color w:val="15803D"/>
              </w:rPr>
              <w:t xml:space="preserve">Built</w:t>
            </w:r>
          </w:p>
        </w:tc>
        <w:tc>
          <w:tcPr>
            <w:tcW w:type="dxa" w:w="3600"/>
            <w:shd w:fill="F3F4F6" w:color="auto" w:val="clear"/>
            <w:tcMar>
              <w:top w:type="dxa" w:w="80"/>
              <w:left w:type="dxa" w:w="120"/>
              <w:bottom w:type="dxa" w:w="80"/>
              <w:right w:type="dxa" w:w="120"/>
            </w:tcMar>
            <w:vAlign w:val="center"/>
          </w:tcPr>
          <w:p>
            <w:r>
              <w:t xml:space="preserve">LENS; gse-vercel-app</w:t>
            </w:r>
          </w:p>
        </w:tc>
      </w:tr>
      <w:tr>
        <w:tc>
          <w:tcPr>
            <w:tcW w:type="dxa" w:w="4400"/>
            <w:tcMar>
              <w:top w:type="dxa" w:w="80"/>
              <w:left w:type="dxa" w:w="120"/>
              <w:bottom w:type="dxa" w:w="80"/>
              <w:right w:type="dxa" w:w="120"/>
            </w:tcMar>
            <w:vAlign w:val="center"/>
          </w:tcPr>
          <w:p>
            <w:r>
              <w:t xml:space="preserve">5. Score out of 100</w:t>
            </w:r>
          </w:p>
        </w:tc>
        <w:tc>
          <w:tcPr>
            <w:tcW w:type="dxa" w:w="1400"/>
            <w:tcMar>
              <w:top w:type="dxa" w:w="80"/>
              <w:left w:type="dxa" w:w="120"/>
              <w:bottom w:type="dxa" w:w="80"/>
              <w:right w:type="dxa" w:w="120"/>
            </w:tcMar>
            <w:vAlign w:val="center"/>
          </w:tcPr>
          <w:p>
            <w:r>
              <w:rPr>
                <w:b/>
                <w:bCs/>
                <w:color w:val="15803D"/>
              </w:rPr>
              <w:t xml:space="preserve">Built</w:t>
            </w:r>
          </w:p>
        </w:tc>
        <w:tc>
          <w:tcPr>
            <w:tcW w:type="dxa" w:w="3600"/>
            <w:tcMar>
              <w:top w:type="dxa" w:w="80"/>
              <w:left w:type="dxa" w:w="120"/>
              <w:bottom w:type="dxa" w:w="80"/>
              <w:right w:type="dxa" w:w="120"/>
            </w:tcMar>
            <w:vAlign w:val="center"/>
          </w:tcPr>
          <w:p>
            <w:r>
              <w:t xml:space="preserve">gse-vercel-app — two competing models, see note below</w:t>
            </w:r>
          </w:p>
        </w:tc>
      </w:tr>
    </w:tbl>
    <w:p>
      <w:pPr>
        <w:pBdr>
          <w:left w:val="single" w:color="0F766E" w:sz="12" w:space="8"/>
        </w:pBdr>
        <w:spacing w:after="200" w:line="300"/>
        <w:ind w:left="360"/>
      </w:pPr>
      <w:r>
        <w:rPr>
          <w:i/>
          <w:iCs/>
          <w:color w:val="374151"/>
        </w:rPr>
        <w:t xml:space="preserve">Two things worth knowing before relying on the score: multi-word vocabulary (phrasal verbs, idioms — 17.6% of the GSE reference list) is not matched anywhere yet, which undercounts range for any script that uses them. And of the two scoring models, the newer “fitted” one is unreliable at the top of the scale — only 11 of 88 test scripts were B2 or above — so the older “legacy” model is the safer default for now.</w:t>
      </w:r>
    </w:p>
    <w:p>
      <w:pPr>
        <w:pStyle w:val="Heading2"/>
        <w:spacing w:after="120" w:before="240"/>
      </w:pPr>
      <w:r>
        <w:rPr>
          <w:b/>
          <w:bCs/>
          <w:color w:val="0F766E"/>
        </w:rPr>
        <w:t xml:space="preserve">Spelling</w:t>
      </w:r>
    </w:p>
    <w:tbl>
      <w:tblPr>
        <w:tblW w:type="dxa" w:w="9400"/>
        <w:tblBorders>
          <w:top w:val="single" w:color="D1D5DB" w:sz="4"/>
          <w:left w:val="single" w:color="D1D5DB" w:sz="4"/>
          <w:bottom w:val="single" w:color="D1D5DB" w:sz="4"/>
          <w:right w:val="single" w:color="D1D5DB" w:sz="4"/>
          <w:insideH w:val="single" w:color="E5E7EB" w:sz="4"/>
          <w:insideV w:val="single" w:color="E5E7EB" w:sz="4"/>
        </w:tblBorders>
      </w:tblPr>
      <w:tblGrid>
        <w:gridCol w:w="4400"/>
        <w:gridCol w:w="1400"/>
        <w:gridCol w:w="3600"/>
      </w:tblGrid>
      <w:tr>
        <w:trPr>
          <w:tblHeader/>
        </w:trPr>
        <w:tc>
          <w:tcPr>
            <w:tcW w:type="dxa" w:w="4400"/>
            <w:shd w:fill="1F2937" w:color="auto" w:val="clear"/>
            <w:tcMar>
              <w:top w:type="dxa" w:w="80"/>
              <w:left w:type="dxa" w:w="120"/>
              <w:bottom w:type="dxa" w:w="80"/>
              <w:right w:type="dxa" w:w="120"/>
            </w:tcMar>
            <w:vAlign w:val="center"/>
          </w:tcPr>
          <w:p>
            <w:r>
              <w:rPr>
                <w:b/>
                <w:bCs/>
                <w:color w:val="FFFFFF"/>
              </w:rPr>
              <w:t xml:space="preserve">Output</w:t>
            </w:r>
          </w:p>
        </w:tc>
        <w:tc>
          <w:tcPr>
            <w:tcW w:type="dxa" w:w="1400"/>
            <w:shd w:fill="1F2937" w:color="auto" w:val="clear"/>
            <w:tcMar>
              <w:top w:type="dxa" w:w="80"/>
              <w:left w:type="dxa" w:w="120"/>
              <w:bottom w:type="dxa" w:w="80"/>
              <w:right w:type="dxa" w:w="120"/>
            </w:tcMar>
            <w:vAlign w:val="center"/>
          </w:tcPr>
          <w:p>
            <w:r>
              <w:rPr>
                <w:b/>
                <w:bCs/>
                <w:color w:val="FFFFFF"/>
              </w:rPr>
              <w:t xml:space="preserve">Status</w:t>
            </w:r>
          </w:p>
        </w:tc>
        <w:tc>
          <w:tcPr>
            <w:tcW w:type="dxa" w:w="3600"/>
            <w:shd w:fill="1F2937" w:color="auto" w:val="clear"/>
            <w:tcMar>
              <w:top w:type="dxa" w:w="80"/>
              <w:left w:type="dxa" w:w="120"/>
              <w:bottom w:type="dxa" w:w="80"/>
              <w:right w:type="dxa" w:w="120"/>
            </w:tcMar>
            <w:vAlign w:val="center"/>
          </w:tcPr>
          <w:p>
            <w:r>
              <w:rPr>
                <w:b/>
                <w:bCs/>
                <w:color w:val="FFFFFF"/>
              </w:rPr>
              <w:t xml:space="preserve">Where it lives / notes</w:t>
            </w:r>
          </w:p>
        </w:tc>
      </w:tr>
      <w:tr>
        <w:tc>
          <w:tcPr>
            <w:tcW w:type="dxa" w:w="4400"/>
            <w:tcMar>
              <w:top w:type="dxa" w:w="80"/>
              <w:left w:type="dxa" w:w="120"/>
              <w:bottom w:type="dxa" w:w="80"/>
              <w:right w:type="dxa" w:w="120"/>
            </w:tcMar>
            <w:vAlign w:val="center"/>
          </w:tcPr>
          <w:p>
            <w:r>
              <w:t xml:space="preserve">1. Misspelled words + correct spelling</w:t>
            </w:r>
          </w:p>
        </w:tc>
        <w:tc>
          <w:tcPr>
            <w:tcW w:type="dxa" w:w="1400"/>
            <w:tcMar>
              <w:top w:type="dxa" w:w="80"/>
              <w:left w:type="dxa" w:w="120"/>
              <w:bottom w:type="dxa" w:w="80"/>
              <w:right w:type="dxa" w:w="120"/>
            </w:tcMar>
            <w:vAlign w:val="center"/>
          </w:tcPr>
          <w:p>
            <w:r>
              <w:rPr>
                <w:b/>
                <w:bCs/>
                <w:color w:val="15803D"/>
              </w:rPr>
              <w:t xml:space="preserve">Built</w:t>
            </w:r>
          </w:p>
        </w:tc>
        <w:tc>
          <w:tcPr>
            <w:tcW w:type="dxa" w:w="3600"/>
            <w:tcMar>
              <w:top w:type="dxa" w:w="80"/>
              <w:left w:type="dxa" w:w="120"/>
              <w:bottom w:type="dxa" w:w="80"/>
              <w:right w:type="dxa" w:w="120"/>
            </w:tcMar>
            <w:vAlign w:val="center"/>
          </w:tcPr>
          <w:p>
            <w:r>
              <w:t xml:space="preserve">GSE_PROFILER; gse-vercel-app</w:t>
            </w:r>
          </w:p>
        </w:tc>
      </w:tr>
      <w:tr>
        <w:tc>
          <w:tcPr>
            <w:tcW w:type="dxa" w:w="4400"/>
            <w:shd w:fill="F3F4F6" w:color="auto" w:val="clear"/>
            <w:tcMar>
              <w:top w:type="dxa" w:w="80"/>
              <w:left w:type="dxa" w:w="120"/>
              <w:bottom w:type="dxa" w:w="80"/>
              <w:right w:type="dxa" w:w="120"/>
            </w:tcMar>
            <w:vAlign w:val="center"/>
          </w:tcPr>
          <w:p>
            <w:r>
              <w:t xml:space="preserve">2. Nature of the mistake</w:t>
            </w:r>
          </w:p>
        </w:tc>
        <w:tc>
          <w:tcPr>
            <w:tcW w:type="dxa" w:w="1400"/>
            <w:shd w:fill="F3F4F6" w:color="auto" w:val="clear"/>
            <w:tcMar>
              <w:top w:type="dxa" w:w="80"/>
              <w:left w:type="dxa" w:w="120"/>
              <w:bottom w:type="dxa" w:w="80"/>
              <w:right w:type="dxa" w:w="120"/>
            </w:tcMar>
            <w:vAlign w:val="center"/>
          </w:tcPr>
          <w:p>
            <w:r>
              <w:rPr>
                <w:b/>
                <w:bCs/>
                <w:color w:val="15803D"/>
              </w:rPr>
              <w:t xml:space="preserve">Built</w:t>
            </w:r>
          </w:p>
        </w:tc>
        <w:tc>
          <w:tcPr>
            <w:tcW w:type="dxa" w:w="3600"/>
            <w:shd w:fill="F3F4F6" w:color="auto" w:val="clear"/>
            <w:tcMar>
              <w:top w:type="dxa" w:w="80"/>
              <w:left w:type="dxa" w:w="120"/>
              <w:bottom w:type="dxa" w:w="80"/>
              <w:right w:type="dxa" w:w="120"/>
            </w:tcMar>
            <w:vAlign w:val="center"/>
          </w:tcPr>
          <w:p>
            <w:r>
              <w:t xml:space="preserve">gse-vercel-app — six categories, see note below</w:t>
            </w:r>
          </w:p>
        </w:tc>
      </w:tr>
      <w:tr>
        <w:tc>
          <w:tcPr>
            <w:tcW w:type="dxa" w:w="4400"/>
            <w:tcMar>
              <w:top w:type="dxa" w:w="80"/>
              <w:left w:type="dxa" w:w="120"/>
              <w:bottom w:type="dxa" w:w="80"/>
              <w:right w:type="dxa" w:w="120"/>
            </w:tcMar>
            <w:vAlign w:val="center"/>
          </w:tcPr>
          <w:p>
            <w:r>
              <w:t xml:space="preserve">3. Severity of the error</w:t>
            </w:r>
          </w:p>
        </w:tc>
        <w:tc>
          <w:tcPr>
            <w:tcW w:type="dxa" w:w="1400"/>
            <w:tcMar>
              <w:top w:type="dxa" w:w="80"/>
              <w:left w:type="dxa" w:w="120"/>
              <w:bottom w:type="dxa" w:w="80"/>
              <w:right w:type="dxa" w:w="120"/>
            </w:tcMar>
            <w:vAlign w:val="center"/>
          </w:tcPr>
          <w:p>
            <w:r>
              <w:rPr>
                <w:b/>
                <w:bCs/>
                <w:color w:val="15803D"/>
              </w:rPr>
              <w:t xml:space="preserve">Built</w:t>
            </w:r>
          </w:p>
        </w:tc>
        <w:tc>
          <w:tcPr>
            <w:tcW w:type="dxa" w:w="3600"/>
            <w:tcMar>
              <w:top w:type="dxa" w:w="80"/>
              <w:left w:type="dxa" w:w="120"/>
              <w:bottom w:type="dxa" w:w="80"/>
              <w:right w:type="dxa" w:w="120"/>
            </w:tcMar>
            <w:vAlign w:val="center"/>
          </w:tcPr>
          <w:p>
            <w:r>
              <w:t xml:space="preserve">gse-vercel-app</w:t>
            </w:r>
          </w:p>
        </w:tc>
      </w:tr>
      <w:tr>
        <w:tc>
          <w:tcPr>
            <w:tcW w:type="dxa" w:w="4400"/>
            <w:shd w:fill="F3F4F6" w:color="auto" w:val="clear"/>
            <w:tcMar>
              <w:top w:type="dxa" w:w="80"/>
              <w:left w:type="dxa" w:w="120"/>
              <w:bottom w:type="dxa" w:w="80"/>
              <w:right w:type="dxa" w:w="120"/>
            </w:tcMar>
            <w:vAlign w:val="center"/>
          </w:tcPr>
          <w:p>
            <w:r>
              <w:t xml:space="preserve">4. Difficulty of the word (CEFR-linked)</w:t>
            </w:r>
          </w:p>
        </w:tc>
        <w:tc>
          <w:tcPr>
            <w:tcW w:type="dxa" w:w="1400"/>
            <w:shd w:fill="F3F4F6" w:color="auto" w:val="clear"/>
            <w:tcMar>
              <w:top w:type="dxa" w:w="80"/>
              <w:left w:type="dxa" w:w="120"/>
              <w:bottom w:type="dxa" w:w="80"/>
              <w:right w:type="dxa" w:w="120"/>
            </w:tcMar>
            <w:vAlign w:val="center"/>
          </w:tcPr>
          <w:p>
            <w:r>
              <w:rPr>
                <w:b/>
                <w:bCs/>
                <w:color w:val="15803D"/>
              </w:rPr>
              <w:t xml:space="preserve">Built</w:t>
            </w:r>
          </w:p>
        </w:tc>
        <w:tc>
          <w:tcPr>
            <w:tcW w:type="dxa" w:w="3600"/>
            <w:shd w:fill="F3F4F6" w:color="auto" w:val="clear"/>
            <w:tcMar>
              <w:top w:type="dxa" w:w="80"/>
              <w:left w:type="dxa" w:w="120"/>
              <w:bottom w:type="dxa" w:w="80"/>
              <w:right w:type="dxa" w:w="120"/>
            </w:tcMar>
            <w:vAlign w:val="center"/>
          </w:tcPr>
          <w:p>
            <w:r>
              <w:t xml:space="preserve">gse-vercel-app</w:t>
            </w:r>
          </w:p>
        </w:tc>
      </w:tr>
      <w:tr>
        <w:tc>
          <w:tcPr>
            <w:tcW w:type="dxa" w:w="4400"/>
            <w:tcMar>
              <w:top w:type="dxa" w:w="80"/>
              <w:left w:type="dxa" w:w="120"/>
              <w:bottom w:type="dxa" w:w="80"/>
              <w:right w:type="dxa" w:w="120"/>
            </w:tcMar>
            <w:vAlign w:val="center"/>
          </w:tcPr>
          <w:p>
            <w:r>
              <w:t xml:space="preserve">5. Score out of 100</w:t>
            </w:r>
          </w:p>
        </w:tc>
        <w:tc>
          <w:tcPr>
            <w:tcW w:type="dxa" w:w="1400"/>
            <w:tcMar>
              <w:top w:type="dxa" w:w="80"/>
              <w:left w:type="dxa" w:w="120"/>
              <w:bottom w:type="dxa" w:w="80"/>
              <w:right w:type="dxa" w:w="120"/>
            </w:tcMar>
            <w:vAlign w:val="center"/>
          </w:tcPr>
          <w:p>
            <w:r>
              <w:rPr>
                <w:b/>
                <w:bCs/>
                <w:color w:val="15803D"/>
              </w:rPr>
              <w:t xml:space="preserve">Built</w:t>
            </w:r>
          </w:p>
        </w:tc>
        <w:tc>
          <w:tcPr>
            <w:tcW w:type="dxa" w:w="3600"/>
            <w:tcMar>
              <w:top w:type="dxa" w:w="80"/>
              <w:left w:type="dxa" w:w="120"/>
              <w:bottom w:type="dxa" w:w="80"/>
              <w:right w:type="dxa" w:w="120"/>
            </w:tcMar>
            <w:vAlign w:val="center"/>
          </w:tcPr>
          <w:p>
            <w:r>
              <w:t xml:space="preserve">gse-vercel-app</w:t>
            </w:r>
          </w:p>
        </w:tc>
      </w:tr>
    </w:tbl>
    <w:p>
      <w:pPr>
        <w:pBdr>
          <w:left w:val="single" w:color="0F766E" w:sz="12" w:space="8"/>
        </w:pBdr>
        <w:spacing w:after="200" w:line="300"/>
        <w:ind w:left="360"/>
      </w:pPr>
      <w:r>
        <w:rPr>
          <w:i/>
          <w:iCs/>
          <w:color w:val="374151"/>
        </w:rPr>
        <w:t xml:space="preserve">The six mistake categories, with their cost weighting: correct (no cost), minor slip — one edit, same sound, e.g. “beautifull” (low cost), boundary — run together or split, e.g. “alot”, phonetic — spelled the way it sounds, e.g. “skooi”, wrong word — a different real word entirely, e.g. “bast” for “best” (high cost), and unrecoverable — no confident reading at all (full cost). Proper nouns are excluded outright; a name isn't a spelling error.</w:t>
      </w:r>
    </w:p>
    <w:p>
      <w:pPr>
        <w:pStyle w:val="Heading2"/>
        <w:spacing w:after="120" w:before="240"/>
      </w:pPr>
      <w:r>
        <w:rPr>
          <w:b/>
          <w:bCs/>
          <w:color w:val="0F766E"/>
        </w:rPr>
        <w:t xml:space="preserve">Grammar</w:t>
      </w:r>
    </w:p>
    <w:tbl>
      <w:tblPr>
        <w:tblW w:type="dxa" w:w="9400"/>
        <w:tblBorders>
          <w:top w:val="single" w:color="D1D5DB" w:sz="4"/>
          <w:left w:val="single" w:color="D1D5DB" w:sz="4"/>
          <w:bottom w:val="single" w:color="D1D5DB" w:sz="4"/>
          <w:right w:val="single" w:color="D1D5DB" w:sz="4"/>
          <w:insideH w:val="single" w:color="E5E7EB" w:sz="4"/>
          <w:insideV w:val="single" w:color="E5E7EB" w:sz="4"/>
        </w:tblBorders>
      </w:tblPr>
      <w:tblGrid>
        <w:gridCol w:w="4400"/>
        <w:gridCol w:w="1400"/>
        <w:gridCol w:w="3600"/>
      </w:tblGrid>
      <w:tr>
        <w:trPr>
          <w:tblHeader/>
        </w:trPr>
        <w:tc>
          <w:tcPr>
            <w:tcW w:type="dxa" w:w="4400"/>
            <w:shd w:fill="1F2937" w:color="auto" w:val="clear"/>
            <w:tcMar>
              <w:top w:type="dxa" w:w="80"/>
              <w:left w:type="dxa" w:w="120"/>
              <w:bottom w:type="dxa" w:w="80"/>
              <w:right w:type="dxa" w:w="120"/>
            </w:tcMar>
            <w:vAlign w:val="center"/>
          </w:tcPr>
          <w:p>
            <w:r>
              <w:rPr>
                <w:b/>
                <w:bCs/>
                <w:color w:val="FFFFFF"/>
              </w:rPr>
              <w:t xml:space="preserve">Output</w:t>
            </w:r>
          </w:p>
        </w:tc>
        <w:tc>
          <w:tcPr>
            <w:tcW w:type="dxa" w:w="1400"/>
            <w:shd w:fill="1F2937" w:color="auto" w:val="clear"/>
            <w:tcMar>
              <w:top w:type="dxa" w:w="80"/>
              <w:left w:type="dxa" w:w="120"/>
              <w:bottom w:type="dxa" w:w="80"/>
              <w:right w:type="dxa" w:w="120"/>
            </w:tcMar>
            <w:vAlign w:val="center"/>
          </w:tcPr>
          <w:p>
            <w:r>
              <w:rPr>
                <w:b/>
                <w:bCs/>
                <w:color w:val="FFFFFF"/>
              </w:rPr>
              <w:t xml:space="preserve">Status</w:t>
            </w:r>
          </w:p>
        </w:tc>
        <w:tc>
          <w:tcPr>
            <w:tcW w:type="dxa" w:w="3600"/>
            <w:shd w:fill="1F2937" w:color="auto" w:val="clear"/>
            <w:tcMar>
              <w:top w:type="dxa" w:w="80"/>
              <w:left w:type="dxa" w:w="120"/>
              <w:bottom w:type="dxa" w:w="80"/>
              <w:right w:type="dxa" w:w="120"/>
            </w:tcMar>
            <w:vAlign w:val="center"/>
          </w:tcPr>
          <w:p>
            <w:r>
              <w:rPr>
                <w:b/>
                <w:bCs/>
                <w:color w:val="FFFFFF"/>
              </w:rPr>
              <w:t xml:space="preserve">Where it lives / notes</w:t>
            </w:r>
          </w:p>
        </w:tc>
      </w:tr>
      <w:tr>
        <w:tc>
          <w:tcPr>
            <w:tcW w:type="dxa" w:w="4400"/>
            <w:tcMar>
              <w:top w:type="dxa" w:w="80"/>
              <w:left w:type="dxa" w:w="120"/>
              <w:bottom w:type="dxa" w:w="80"/>
              <w:right w:type="dxa" w:w="120"/>
            </w:tcMar>
            <w:vAlign w:val="center"/>
          </w:tcPr>
          <w:p>
            <w:r>
              <w:t xml:space="preserve">1. Structures attempted</w:t>
            </w:r>
          </w:p>
        </w:tc>
        <w:tc>
          <w:tcPr>
            <w:tcW w:type="dxa" w:w="1400"/>
            <w:tcMar>
              <w:top w:type="dxa" w:w="80"/>
              <w:left w:type="dxa" w:w="120"/>
              <w:bottom w:type="dxa" w:w="80"/>
              <w:right w:type="dxa" w:w="120"/>
            </w:tcMar>
            <w:vAlign w:val="center"/>
          </w:tcPr>
          <w:p>
            <w:r>
              <w:rPr>
                <w:b/>
                <w:bCs/>
                <w:color w:val="B45309"/>
              </w:rPr>
              <w:t xml:space="preserve">Partial</w:t>
            </w:r>
          </w:p>
        </w:tc>
        <w:tc>
          <w:tcPr>
            <w:tcW w:type="dxa" w:w="3600"/>
            <w:tcMar>
              <w:top w:type="dxa" w:w="80"/>
              <w:left w:type="dxa" w:w="120"/>
              <w:bottom w:type="dxa" w:w="80"/>
              <w:right w:type="dxa" w:w="120"/>
            </w:tcMar>
            <w:vAlign w:val="center"/>
          </w:tcPr>
          <w:p>
            <w:r>
              <w:t xml:space="preserve">LENS — correctly-formed structures only; malformed attempts are invisible everywhere</w:t>
            </w:r>
          </w:p>
        </w:tc>
      </w:tr>
      <w:tr>
        <w:tc>
          <w:tcPr>
            <w:tcW w:type="dxa" w:w="4400"/>
            <w:shd w:fill="F3F4F6" w:color="auto" w:val="clear"/>
            <w:tcMar>
              <w:top w:type="dxa" w:w="80"/>
              <w:left w:type="dxa" w:w="120"/>
              <w:bottom w:type="dxa" w:w="80"/>
              <w:right w:type="dxa" w:w="120"/>
            </w:tcMar>
            <w:vAlign w:val="center"/>
          </w:tcPr>
          <w:p>
            <w:r>
              <w:t xml:space="preserve">2. Corrected sentences</w:t>
            </w:r>
          </w:p>
        </w:tc>
        <w:tc>
          <w:tcPr>
            <w:tcW w:type="dxa" w:w="1400"/>
            <w:shd w:fill="F3F4F6" w:color="auto" w:val="clear"/>
            <w:tcMar>
              <w:top w:type="dxa" w:w="80"/>
              <w:left w:type="dxa" w:w="120"/>
              <w:bottom w:type="dxa" w:w="80"/>
              <w:right w:type="dxa" w:w="120"/>
            </w:tcMar>
            <w:vAlign w:val="center"/>
          </w:tcPr>
          <w:p>
            <w:r>
              <w:rPr>
                <w:b/>
                <w:bCs/>
                <w:color w:val="B91C1C"/>
              </w:rPr>
              <w:t xml:space="preserve">Not built</w:t>
            </w:r>
          </w:p>
        </w:tc>
        <w:tc>
          <w:tcPr>
            <w:tcW w:type="dxa" w:w="3600"/>
            <w:shd w:fill="F3F4F6" w:color="auto" w:val="clear"/>
            <w:tcMar>
              <w:top w:type="dxa" w:w="80"/>
              <w:left w:type="dxa" w:w="120"/>
              <w:bottom w:type="dxa" w:w="80"/>
              <w:right w:type="dxa" w:w="120"/>
            </w:tcMar>
            <w:vAlign w:val="center"/>
          </w:tcPr>
          <w:p>
            <w:r>
              <w:t xml:space="preserve">Nowhere</w:t>
            </w:r>
          </w:p>
        </w:tc>
      </w:tr>
      <w:tr>
        <w:tc>
          <w:tcPr>
            <w:tcW w:type="dxa" w:w="4400"/>
            <w:tcMar>
              <w:top w:type="dxa" w:w="80"/>
              <w:left w:type="dxa" w:w="120"/>
              <w:bottom w:type="dxa" w:w="80"/>
              <w:right w:type="dxa" w:w="120"/>
            </w:tcMar>
            <w:vAlign w:val="center"/>
          </w:tcPr>
          <w:p>
            <w:r>
              <w:t xml:space="preserve">3. CEFR level from structures used</w:t>
            </w:r>
          </w:p>
        </w:tc>
        <w:tc>
          <w:tcPr>
            <w:tcW w:type="dxa" w:w="1400"/>
            <w:tcMar>
              <w:top w:type="dxa" w:w="80"/>
              <w:left w:type="dxa" w:w="120"/>
              <w:bottom w:type="dxa" w:w="80"/>
              <w:right w:type="dxa" w:w="120"/>
            </w:tcMar>
            <w:vAlign w:val="center"/>
          </w:tcPr>
          <w:p>
            <w:r>
              <w:rPr>
                <w:b/>
                <w:bCs/>
                <w:color w:val="B45309"/>
              </w:rPr>
              <w:t xml:space="preserve">Partial</w:t>
            </w:r>
          </w:p>
        </w:tc>
        <w:tc>
          <w:tcPr>
            <w:tcW w:type="dxa" w:w="3600"/>
            <w:tcMar>
              <w:top w:type="dxa" w:w="80"/>
              <w:left w:type="dxa" w:w="120"/>
              <w:bottom w:type="dxa" w:w="80"/>
              <w:right w:type="dxa" w:w="120"/>
            </w:tcMar>
            <w:vAlign w:val="center"/>
          </w:tcPr>
          <w:p>
            <w:r>
              <w:t xml:space="preserve">LENS has a level per structure; no script-level roll-up yet</w:t>
            </w:r>
          </w:p>
        </w:tc>
      </w:tr>
      <w:tr>
        <w:tc>
          <w:tcPr>
            <w:tcW w:type="dxa" w:w="4400"/>
            <w:shd w:fill="F3F4F6" w:color="auto" w:val="clear"/>
            <w:tcMar>
              <w:top w:type="dxa" w:w="80"/>
              <w:left w:type="dxa" w:w="120"/>
              <w:bottom w:type="dxa" w:w="80"/>
              <w:right w:type="dxa" w:w="120"/>
            </w:tcMar>
            <w:vAlign w:val="center"/>
          </w:tcPr>
          <w:p>
            <w:r>
              <w:t xml:space="preserve">4. Grammar accuracy score /100</w:t>
            </w:r>
          </w:p>
        </w:tc>
        <w:tc>
          <w:tcPr>
            <w:tcW w:type="dxa" w:w="1400"/>
            <w:shd w:fill="F3F4F6" w:color="auto" w:val="clear"/>
            <w:tcMar>
              <w:top w:type="dxa" w:w="80"/>
              <w:left w:type="dxa" w:w="120"/>
              <w:bottom w:type="dxa" w:w="80"/>
              <w:right w:type="dxa" w:w="120"/>
            </w:tcMar>
            <w:vAlign w:val="center"/>
          </w:tcPr>
          <w:p>
            <w:r>
              <w:rPr>
                <w:b/>
                <w:bCs/>
                <w:color w:val="B91C1C"/>
              </w:rPr>
              <w:t xml:space="preserve">Not built</w:t>
            </w:r>
          </w:p>
        </w:tc>
        <w:tc>
          <w:tcPr>
            <w:tcW w:type="dxa" w:w="3600"/>
            <w:shd w:fill="F3F4F6" w:color="auto" w:val="clear"/>
            <w:tcMar>
              <w:top w:type="dxa" w:w="80"/>
              <w:left w:type="dxa" w:w="120"/>
              <w:bottom w:type="dxa" w:w="80"/>
              <w:right w:type="dxa" w:w="120"/>
            </w:tcMar>
            <w:vAlign w:val="center"/>
          </w:tcPr>
          <w:p>
            <w:r>
              <w:t xml:space="preserve">Blocked on item 1</w:t>
            </w:r>
          </w:p>
        </w:tc>
      </w:tr>
      <w:tr>
        <w:tc>
          <w:tcPr>
            <w:tcW w:type="dxa" w:w="4400"/>
            <w:tcMar>
              <w:top w:type="dxa" w:w="80"/>
              <w:left w:type="dxa" w:w="120"/>
              <w:bottom w:type="dxa" w:w="80"/>
              <w:right w:type="dxa" w:w="120"/>
            </w:tcMar>
            <w:vAlign w:val="center"/>
          </w:tcPr>
          <w:p>
            <w:r>
              <w:t xml:space="preserve">5. Grammar range score /100</w:t>
            </w:r>
          </w:p>
        </w:tc>
        <w:tc>
          <w:tcPr>
            <w:tcW w:type="dxa" w:w="1400"/>
            <w:tcMar>
              <w:top w:type="dxa" w:w="80"/>
              <w:left w:type="dxa" w:w="120"/>
              <w:bottom w:type="dxa" w:w="80"/>
              <w:right w:type="dxa" w:w="120"/>
            </w:tcMar>
            <w:vAlign w:val="center"/>
          </w:tcPr>
          <w:p>
            <w:r>
              <w:rPr>
                <w:b/>
                <w:bCs/>
                <w:color w:val="B91C1C"/>
              </w:rPr>
              <w:t xml:space="preserve">Not built</w:t>
            </w:r>
          </w:p>
        </w:tc>
        <w:tc>
          <w:tcPr>
            <w:tcW w:type="dxa" w:w="3600"/>
            <w:tcMar>
              <w:top w:type="dxa" w:w="80"/>
              <w:left w:type="dxa" w:w="120"/>
              <w:bottom w:type="dxa" w:w="80"/>
              <w:right w:type="dxa" w:w="120"/>
            </w:tcMar>
            <w:vAlign w:val="center"/>
          </w:tcPr>
          <w:p>
            <w:r>
              <w:t xml:space="preserve">Closest to buildable — mirrors how vocabulary range already works</w:t>
            </w:r>
          </w:p>
        </w:tc>
      </w:tr>
    </w:tbl>
    <w:p>
      <w:pPr>
        <w:pBdr>
          <w:left w:val="single" w:color="0F766E" w:sz="12" w:space="8"/>
        </w:pBdr>
        <w:spacing w:after="200" w:line="300"/>
        <w:ind w:left="360"/>
      </w:pPr>
      <w:r>
        <w:rPr>
          <w:i/>
          <w:iCs/>
          <w:color w:val="374151"/>
        </w:rPr>
        <w:t xml:space="preserve">This is the one dimension with a real, confirmed gap. Nothing beyond “detect what's correct” exists anywhere across all three systems. gse-vercel-app says as much in its own interface: “Grammar is deliberately left as written: this is a vocabulary profiler.”</w:t>
      </w:r>
    </w:p>
    <w:p>
      <w:pPr>
        <w:pStyle w:val="Heading1"/>
        <w:spacing w:after="160" w:before="320"/>
      </w:pPr>
      <w:r>
        <w:rPr>
          <w:b/>
          <w:bCs/>
          <w:color w:val="1F2937"/>
        </w:rPr>
        <w:t xml:space="preserve">4. What needs to be built</w:t>
      </w:r>
    </w:p>
    <w:p>
      <w:pPr>
        <w:spacing w:after="160" w:line="300"/>
      </w:pPr>
      <w:r>
        <w:t xml:space="preserve">In rough order of how much they block everything downstream.</w:t>
      </w:r>
    </w:p>
    <w:p>
      <w:pPr>
        <w:pStyle w:val="ListParagraph"/>
        <w:numPr>
          <w:ilvl w:val="0"/>
          <w:numId w:val="2"/>
        </w:numPr>
        <w:spacing w:after="100" w:line="280"/>
      </w:pPr>
      <w:r>
        <w:t xml:space="preserve">Malformed grammar-structure detection — the critical path. A student's structures currently only register when they get them right; a wrong attempt is invisible. Almost everything else under Grammar depends on this existing first.</w:t>
      </w:r>
    </w:p>
    <w:p>
      <w:pPr>
        <w:pStyle w:val="ListParagraph"/>
        <w:numPr>
          <w:ilvl w:val="0"/>
          <w:numId w:val="2"/>
        </w:numPr>
        <w:spacing w:after="100" w:line="280"/>
      </w:pPr>
      <w:r>
        <w:t xml:space="preserve">Grammar accuracy and range scoring, once structure detection covers both correct and incorrect attempts.</w:t>
      </w:r>
    </w:p>
    <w:p>
      <w:pPr>
        <w:pStyle w:val="ListParagraph"/>
        <w:numPr>
          <w:ilvl w:val="0"/>
          <w:numId w:val="2"/>
        </w:numPr>
        <w:spacing w:after="100" w:line="280"/>
      </w:pPr>
      <w:r>
        <w:t xml:space="preserve">Corrected-sentence generation. This is not a lookup problem the way spelling correction is — it will most likely need an AI step, following the same pattern already proven for spelling: the AI guesses intent and produces the readable text, but never decides the score.</w:t>
      </w:r>
    </w:p>
    <w:p>
      <w:pPr>
        <w:pStyle w:val="ListParagraph"/>
        <w:numPr>
          <w:ilvl w:val="0"/>
          <w:numId w:val="2"/>
        </w:numPr>
        <w:spacing w:after="100" w:line="280"/>
      </w:pPr>
      <w:r>
        <w:t xml:space="preserve">A script-level CEFR estimate for grammar, rolling up the individual structure levels EGP already provides into one figure.</w:t>
      </w:r>
    </w:p>
    <w:p>
      <w:pPr>
        <w:pStyle w:val="ListParagraph"/>
        <w:numPr>
          <w:ilvl w:val="0"/>
          <w:numId w:val="2"/>
        </w:numPr>
        <w:spacing w:after="100" w:line="280"/>
      </w:pPr>
      <w:r>
        <w:t xml:space="preserve">Multi-word vocabulary matching (phrasal verbs, idioms). A known, already-diagnosed gap — these make up 17.6% of the GSE reference list and are currently invisible to every version of the vocabulary engine, which undercounts range for any script that leans on them.</w:t>
      </w:r>
    </w:p>
    <w:p>
      <w:pPr>
        <w:pStyle w:val="ListParagraph"/>
        <w:numPr>
          <w:ilvl w:val="0"/>
          <w:numId w:val="2"/>
        </w:numPr>
        <w:spacing w:after="100" w:line="280"/>
      </w:pPr>
      <w:r>
        <w:t xml:space="preserve">Reconcile the two spelling-severity designs. What actually got built in gse-vercel-app normalises against how hard the words THIS student attempted were; the original proposal asked for each miss to be weighted against the student's own separately-measured vocabulary level. Both produce a similar effect but are not the same calculation — worth a deliberate side-by-side check before calling this settled.</w:t>
      </w:r>
    </w:p>
    <w:p>
      <w:pPr>
        <w:pStyle w:val="ListParagraph"/>
        <w:numPr>
          <w:ilvl w:val="0"/>
          <w:numId w:val="2"/>
        </w:numPr>
        <w:spacing w:after="100" w:line="280"/>
      </w:pPr>
      <w:r>
        <w:t xml:space="preserve">Fix a naming mix-up in gse-vercel-app's own README, which currently describes its engine as “the LENS profiler copied verbatim.” It is not LENS — LENS is the separate TypeScript platform. What was actually copied is GSE_PROFILER. Cheap to fix now; likely to mislead someone later if it isn't.</w:t>
      </w:r>
    </w:p>
    <w:p>
      <w:pPr>
        <w:pStyle w:val="Heading1"/>
        <w:spacing w:after="160" w:before="320"/>
      </w:pPr>
      <w:r>
        <w:rPr>
          <w:b/>
          <w:bCs/>
          <w:color w:val="1F2937"/>
        </w:rPr>
        <w:t xml:space="preserve">5. The architecture question</w:t>
      </w:r>
    </w:p>
    <w:p>
      <w:pPr>
        <w:spacing w:after="160" w:line="300"/>
      </w:pPr>
      <w:r>
        <w:t xml:space="preserve">gse-vercel-app is, in practice, already most of the way to being the AZE Language Profiler — it just doesn't call itself that yet. It's also already proven the pattern worth carrying into Grammar: deterministic logic drives anything that produces a score, so every number stays traceable and defensible, and AI is only used to guess intent or generate presentational text — a corrected sentence, for instance — never to decide a score by itself. That's not a design choice still up for debate; it's already built and working for spelling.</w:t>
      </w:r>
    </w:p>
    <w:p>
      <w:pPr>
        <w:spacing w:after="160" w:line="300"/>
      </w:pPr>
      <w:r>
        <w:t xml:space="preserve">What is still open is where the grammar engine itself gets built. LENS already has a structure detector for correct grammar, written in TypeScript. gse-vercel-app is Python. Either the Python side gets its own structure detector built out — which duplicates work LENS has already done — or gse-vercel-app calls out to LENS to do structure detection and layers its own scoring on top. This is worth deciding deliberately, before grammar work starts, rather than defaulting into it partway through.</w:t>
      </w:r>
    </w:p>
    <w:p>
      <w:pPr>
        <w:pStyle w:val="Heading1"/>
        <w:spacing w:after="160" w:before="320"/>
      </w:pPr>
      <w:r>
        <w:rPr>
          <w:b/>
          <w:bCs/>
          <w:color w:val="1F2937"/>
        </w:rPr>
        <w:t xml:space="preserve">6. Suggested order</w:t>
      </w:r>
    </w:p>
    <w:p>
      <w:pPr>
        <w:pStyle w:val="ListParagraph"/>
        <w:numPr>
          <w:ilvl w:val="0"/>
          <w:numId w:val="3"/>
        </w:numPr>
        <w:spacing w:after="100" w:line="280"/>
      </w:pPr>
      <w:r>
        <w:t xml:space="preserve">Settle the architecture question below — where the grammar engine gets built.</w:t>
      </w:r>
    </w:p>
    <w:p>
      <w:pPr>
        <w:pStyle w:val="ListParagraph"/>
        <w:numPr>
          <w:ilvl w:val="0"/>
          <w:numId w:val="3"/>
        </w:numPr>
        <w:spacing w:after="100" w:line="280"/>
      </w:pPr>
      <w:r>
        <w:t xml:space="preserve">Reconcile the spelling-severity approach. A decision, not new code.</w:t>
      </w:r>
    </w:p>
    <w:p>
      <w:pPr>
        <w:pStyle w:val="ListParagraph"/>
        <w:numPr>
          <w:ilvl w:val="0"/>
          <w:numId w:val="3"/>
        </w:numPr>
        <w:spacing w:after="100" w:line="280"/>
      </w:pPr>
      <w:r>
        <w:t xml:space="preserve">Build malformed-structure detection for grammar — the single largest piece of new engineering in this plan.</w:t>
      </w:r>
    </w:p>
    <w:p>
      <w:pPr>
        <w:pStyle w:val="ListParagraph"/>
        <w:numPr>
          <w:ilvl w:val="0"/>
          <w:numId w:val="3"/>
        </w:numPr>
        <w:spacing w:after="100" w:line="280"/>
      </w:pPr>
      <w:r>
        <w:t xml:space="preserve">Build grammar accuracy and range scoring on top of it.</w:t>
      </w:r>
    </w:p>
    <w:p>
      <w:pPr>
        <w:pStyle w:val="ListParagraph"/>
        <w:numPr>
          <w:ilvl w:val="0"/>
          <w:numId w:val="3"/>
        </w:numPr>
        <w:spacing w:after="100" w:line="280"/>
      </w:pPr>
      <w:r>
        <w:t xml:space="preserve">Add corrected-sentence generation.</w:t>
      </w:r>
    </w:p>
    <w:p>
      <w:pPr>
        <w:pStyle w:val="ListParagraph"/>
        <w:numPr>
          <w:ilvl w:val="0"/>
          <w:numId w:val="3"/>
        </w:numPr>
        <w:spacing w:after="100" w:line="280"/>
      </w:pPr>
      <w:r>
        <w:t xml:space="preserve">Everything else — multi-word vocabulary, the stretch-level concept, the README fix — can happen at any point, in parallel.</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2026-08-18T07:01:50.466Z</dcterms:created>
  <dcterms:modified xsi:type="dcterms:W3CDTF">2026-08-18T07:01:50.467Z</dcterms:modified>
</cp:coreProperties>
</file>

<file path=docProps/custom.xml><?xml version="1.0" encoding="utf-8"?>
<Properties xmlns="http://schemas.openxmlformats.org/officeDocument/2006/custom-properties" xmlns:vt="http://schemas.openxmlformats.org/officeDocument/2006/docPropsVTypes"/>
</file>