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6869" w14:textId="77777777" w:rsidR="005D4E5A" w:rsidRPr="005D4E5A" w:rsidRDefault="005D4E5A" w:rsidP="005D4E5A">
      <w:pPr>
        <w:pStyle w:val="Title"/>
      </w:pPr>
      <w:r w:rsidRPr="005D4E5A">
        <w:t>Module 3 Addendum: Closing the Loop and Rolling Back</w:t>
      </w:r>
    </w:p>
    <w:p w14:paraId="7B895F70" w14:textId="7231978B" w:rsidR="005D4E5A" w:rsidRPr="005D4E5A" w:rsidRDefault="005D4E5A" w:rsidP="005D4E5A">
      <w:pPr>
        <w:pStyle w:val="Heading1"/>
      </w:pPr>
      <w:r w:rsidRPr="005D4E5A">
        <w:t>Closing the Loop: Syncing Back to VS Code</w:t>
      </w:r>
    </w:p>
    <w:p w14:paraId="601F4A77" w14:textId="77777777" w:rsidR="005D4E5A" w:rsidRPr="005D4E5A" w:rsidRDefault="005D4E5A" w:rsidP="005D4E5A">
      <w:r w:rsidRPr="005D4E5A">
        <w:t xml:space="preserve">A critical, often-overlooked step in the version control lifecycle occurs immediately after a Pull Request is merged on the GitHub website. </w:t>
      </w:r>
    </w:p>
    <w:p w14:paraId="2B789DF5" w14:textId="77777777" w:rsidR="005D4E5A" w:rsidRPr="005D4E5A" w:rsidRDefault="005D4E5A" w:rsidP="005D4E5A">
      <w:r w:rsidRPr="005D4E5A">
        <w:t>When a merge occurs, the main branch in the cloud (the Source of Truth) is updated. However, the local VS Code environment on the administrator's laptop remains unaware of this change. If the administrator attempts to create a new branch or make new changes without updating their local environment, they will be working from an outdated configuration, leading to version conflicts.</w:t>
      </w:r>
    </w:p>
    <w:p w14:paraId="4D509AF7" w14:textId="77777777" w:rsidR="005D4E5A" w:rsidRPr="005D4E5A" w:rsidRDefault="005D4E5A" w:rsidP="005D4E5A">
      <w:r w:rsidRPr="005D4E5A">
        <w:t xml:space="preserve">To "close the loop" and synchronize the </w:t>
      </w:r>
      <w:proofErr w:type="gramStart"/>
      <w:r w:rsidRPr="005D4E5A">
        <w:t>environments</w:t>
      </w:r>
      <w:proofErr w:type="gramEnd"/>
      <w:r w:rsidRPr="005D4E5A">
        <w:t>, the administrator must:</w:t>
      </w:r>
    </w:p>
    <w:p w14:paraId="2855E334" w14:textId="77777777" w:rsidR="005D4E5A" w:rsidRPr="005D4E5A" w:rsidRDefault="005D4E5A" w:rsidP="005D4E5A">
      <w:pPr>
        <w:numPr>
          <w:ilvl w:val="0"/>
          <w:numId w:val="3"/>
        </w:numPr>
      </w:pPr>
      <w:r w:rsidRPr="005D4E5A">
        <w:t>Switch their local VS Code workspace back to the main branch (using the branch indicator in the bottom-left corner).</w:t>
      </w:r>
    </w:p>
    <w:p w14:paraId="01FA03D5" w14:textId="77777777" w:rsidR="005D4E5A" w:rsidRPr="005D4E5A" w:rsidRDefault="005D4E5A" w:rsidP="005D4E5A">
      <w:pPr>
        <w:numPr>
          <w:ilvl w:val="0"/>
          <w:numId w:val="3"/>
        </w:numPr>
      </w:pPr>
      <w:r w:rsidRPr="005D4E5A">
        <w:t xml:space="preserve">Click the </w:t>
      </w:r>
      <w:r w:rsidRPr="005D4E5A">
        <w:rPr>
          <w:b/>
          <w:bCs/>
        </w:rPr>
        <w:t>Sync Changes</w:t>
      </w:r>
      <w:r w:rsidRPr="005D4E5A">
        <w:t xml:space="preserve"> (or </w:t>
      </w:r>
      <w:proofErr w:type="gramStart"/>
      <w:r w:rsidRPr="005D4E5A">
        <w:t>Pull</w:t>
      </w:r>
      <w:proofErr w:type="gramEnd"/>
      <w:r w:rsidRPr="005D4E5A">
        <w:t>) button in the Source Control tab.</w:t>
      </w:r>
    </w:p>
    <w:p w14:paraId="6F71AFDC" w14:textId="77777777" w:rsidR="005D4E5A" w:rsidRPr="005D4E5A" w:rsidRDefault="005D4E5A" w:rsidP="005D4E5A">
      <w:r w:rsidRPr="005D4E5A">
        <w:t>This action reaches out to GitHub, downloads the newly merged production code, and updates the local files. The local workspace is now perfectly synchronized with the cloud, and the administrator can safely begin their next task.</w:t>
      </w:r>
    </w:p>
    <w:p w14:paraId="77746E93" w14:textId="7264D0FB" w:rsidR="005D4E5A" w:rsidRPr="005D4E5A" w:rsidRDefault="005D4E5A" w:rsidP="005D4E5A">
      <w:pPr>
        <w:pStyle w:val="Heading1"/>
      </w:pPr>
      <w:r w:rsidRPr="005D4E5A">
        <w:t>The Audit Trail: The Code IS the Documentation</w:t>
      </w:r>
    </w:p>
    <w:p w14:paraId="48C304A6" w14:textId="77777777" w:rsidR="005D4E5A" w:rsidRPr="005D4E5A" w:rsidRDefault="005D4E5A" w:rsidP="005D4E5A">
      <w:r w:rsidRPr="005D4E5A">
        <w:t xml:space="preserve">One of the primary benefits of utilizing GitHub is the automatic generation of a permanent audit trail. </w:t>
      </w:r>
    </w:p>
    <w:p w14:paraId="7C9628E5" w14:textId="77777777" w:rsidR="005D4E5A" w:rsidRPr="005D4E5A" w:rsidRDefault="005D4E5A" w:rsidP="005D4E5A">
      <w:r w:rsidRPr="005D4E5A">
        <w:t xml:space="preserve">In the GitHub web interface, every file features a </w:t>
      </w:r>
      <w:proofErr w:type="gramStart"/>
      <w:r w:rsidRPr="005D4E5A">
        <w:rPr>
          <w:b/>
          <w:bCs/>
        </w:rPr>
        <w:t>History</w:t>
      </w:r>
      <w:proofErr w:type="gramEnd"/>
      <w:r w:rsidRPr="005D4E5A">
        <w:t xml:space="preserve"> button. Clicking this button reveals a timestamped ledger of every commit ever made to that file. Instead of relying on external ticketing systems or manually updated Wiki pages, administrators can view exactly </w:t>
      </w:r>
      <w:r w:rsidRPr="005D4E5A">
        <w:rPr>
          <w:i/>
          <w:iCs/>
        </w:rPr>
        <w:t>who</w:t>
      </w:r>
      <w:r w:rsidRPr="005D4E5A">
        <w:t xml:space="preserve"> modified the file, </w:t>
      </w:r>
      <w:r w:rsidRPr="005D4E5A">
        <w:rPr>
          <w:i/>
          <w:iCs/>
        </w:rPr>
        <w:t>when</w:t>
      </w:r>
      <w:r w:rsidRPr="005D4E5A">
        <w:t xml:space="preserve"> it was modified, and </w:t>
      </w:r>
      <w:r w:rsidRPr="005D4E5A">
        <w:rPr>
          <w:i/>
          <w:iCs/>
        </w:rPr>
        <w:t>why</w:t>
      </w:r>
      <w:r w:rsidRPr="005D4E5A">
        <w:t xml:space="preserve"> (via the mandatory Commit Message). </w:t>
      </w:r>
    </w:p>
    <w:p w14:paraId="27ABDC2B" w14:textId="77777777" w:rsidR="005D4E5A" w:rsidRPr="005D4E5A" w:rsidRDefault="005D4E5A" w:rsidP="005D4E5A">
      <w:r w:rsidRPr="005D4E5A">
        <w:t xml:space="preserve">Furthermore, clicking on any historical commit displays a visual "Diff" (red and green highlighted text), showing the exact lines of code that were added or removed during that specific change. This drastically reduces troubleshooting time during network outages by instantly answering the question: </w:t>
      </w:r>
      <w:r w:rsidRPr="005D4E5A">
        <w:rPr>
          <w:i/>
          <w:iCs/>
        </w:rPr>
        <w:t>"What changed last night?"</w:t>
      </w:r>
    </w:p>
    <w:p w14:paraId="072A2495" w14:textId="06EA0191" w:rsidR="005D4E5A" w:rsidRPr="005D4E5A" w:rsidRDefault="005D4E5A" w:rsidP="005D4E5A">
      <w:pPr>
        <w:pStyle w:val="Heading1"/>
      </w:pPr>
      <w:r w:rsidRPr="005D4E5A">
        <w:lastRenderedPageBreak/>
        <w:t>The "Undo" Button: Executing Rollbacks</w:t>
      </w:r>
    </w:p>
    <w:p w14:paraId="76CA1C20" w14:textId="77777777" w:rsidR="005D4E5A" w:rsidRPr="005D4E5A" w:rsidRDefault="005D4E5A" w:rsidP="005D4E5A">
      <w:r w:rsidRPr="005D4E5A">
        <w:t xml:space="preserve">During the session, a critical question was raised regarding rollbacks: </w:t>
      </w:r>
      <w:r w:rsidRPr="005D4E5A">
        <w:rPr>
          <w:i/>
          <w:iCs/>
        </w:rPr>
        <w:t>If an incorrect configuration is accidentally merged into production, is there a way to back it out?</w:t>
      </w:r>
    </w:p>
    <w:p w14:paraId="42A5FA13" w14:textId="77777777" w:rsidR="005D4E5A" w:rsidRPr="005D4E5A" w:rsidRDefault="005D4E5A" w:rsidP="005D4E5A">
      <w:r w:rsidRPr="005D4E5A">
        <w:t xml:space="preserve">Yes. Because Git tracks changes mathematically line-by-line, it possesses the ability to instantly undo mistakes without requiring an administrator to manually rewrite the configuration. This is accomplished using the </w:t>
      </w:r>
      <w:r w:rsidRPr="005D4E5A">
        <w:rPr>
          <w:b/>
          <w:bCs/>
        </w:rPr>
        <w:t>Revert</w:t>
      </w:r>
      <w:r w:rsidRPr="005D4E5A">
        <w:t xml:space="preserve"> function.</w:t>
      </w:r>
    </w:p>
    <w:p w14:paraId="74778DE1" w14:textId="77777777" w:rsidR="005D4E5A" w:rsidRPr="005D4E5A" w:rsidRDefault="005D4E5A" w:rsidP="005D4E5A">
      <w:r w:rsidRPr="005D4E5A">
        <w:t xml:space="preserve">When a bad commit is identified in the GitHub History, an administrator can select the option to Revert that specific commit. Git does not simply delete the history; instead, it calculates the exact inverse of the bad commit and applies it as a brand-new, forward-moving commit. </w:t>
      </w:r>
    </w:p>
    <w:p w14:paraId="298AEEEB" w14:textId="77777777" w:rsidR="005D4E5A" w:rsidRPr="005D4E5A" w:rsidRDefault="005D4E5A" w:rsidP="005D4E5A">
      <w:r w:rsidRPr="005D4E5A">
        <w:t xml:space="preserve">For example, if a bad </w:t>
      </w:r>
      <w:proofErr w:type="gramStart"/>
      <w:r w:rsidRPr="005D4E5A">
        <w:t>commit added a</w:t>
      </w:r>
      <w:proofErr w:type="gramEnd"/>
      <w:r w:rsidRPr="005D4E5A">
        <w:t xml:space="preserve"> flawed QoS policy, the Revert action automatically generates a new commit that removes that exact QoS policy. This instantly restores the network to its previous stable state while preserving a perfect, transparent audit trail showing that a mistake was made and subsequently corrected.</w:t>
      </w:r>
    </w:p>
    <w:p w14:paraId="51FC82B7" w14:textId="5320FB7B" w:rsidR="005D4E5A" w:rsidRPr="005D4E5A" w:rsidRDefault="005D4E5A" w:rsidP="005D4E5A">
      <w:pPr>
        <w:pStyle w:val="Heading1"/>
      </w:pPr>
      <w:r w:rsidRPr="005D4E5A">
        <w:t>Process and Governance: When to Merge</w:t>
      </w:r>
    </w:p>
    <w:p w14:paraId="5F2F7C0C" w14:textId="77777777" w:rsidR="005D4E5A" w:rsidRPr="005D4E5A" w:rsidRDefault="005D4E5A" w:rsidP="005D4E5A">
      <w:r w:rsidRPr="005D4E5A">
        <w:t xml:space="preserve">Another vital question addressed the governance of the merge process: </w:t>
      </w:r>
      <w:r w:rsidRPr="005D4E5A">
        <w:rPr>
          <w:i/>
          <w:iCs/>
        </w:rPr>
        <w:t>How does an administrator know when it is approved to merge a Pull Request into the main branch?</w:t>
      </w:r>
    </w:p>
    <w:p w14:paraId="3BB6C2D5" w14:textId="77777777" w:rsidR="005D4E5A" w:rsidRPr="005D4E5A" w:rsidRDefault="005D4E5A" w:rsidP="005D4E5A">
      <w:r w:rsidRPr="005D4E5A">
        <w:t xml:space="preserve">It is important to separate the </w:t>
      </w:r>
      <w:r w:rsidRPr="005D4E5A">
        <w:rPr>
          <w:i/>
          <w:iCs/>
        </w:rPr>
        <w:t>mechanism</w:t>
      </w:r>
      <w:r w:rsidRPr="005D4E5A">
        <w:t xml:space="preserve"> of the tool from the </w:t>
      </w:r>
      <w:r w:rsidRPr="005D4E5A">
        <w:rPr>
          <w:i/>
          <w:iCs/>
        </w:rPr>
        <w:t>policy</w:t>
      </w:r>
      <w:r w:rsidRPr="005D4E5A">
        <w:t xml:space="preserve"> of the organization. GitHub's Pull Request feature provides the mechanism for peer review—allowing team members to view proposed changes side-by-side and leave comments. However, the authority to click the "Merge" button is dictated by the specific project's or customer's Change Review Board (CRB) processes. </w:t>
      </w:r>
    </w:p>
    <w:p w14:paraId="18FAD158" w14:textId="0BD304CC" w:rsidR="005D4E5A" w:rsidRPr="005D4E5A" w:rsidRDefault="005D4E5A" w:rsidP="005D4E5A">
      <w:r w:rsidRPr="005D4E5A">
        <w:t xml:space="preserve">In a mature NetDevOps environment, GitHub standardizes the CRB process. Instead of attaching Notepad files to an email for approval, the Pull Request link is submitted to the review board. Once the designated peers or senior architects approve the Pull Request within GitHub, the administrator is cleared to execute the merge. </w:t>
      </w:r>
    </w:p>
    <w:p w14:paraId="50B8EF2C" w14:textId="77777777" w:rsidR="004E3B12" w:rsidRDefault="004E3B12"/>
    <w:sectPr w:rsidR="004E3B1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197C" w14:textId="77777777" w:rsidR="00022F4E" w:rsidRDefault="00022F4E" w:rsidP="005D4E5A">
      <w:pPr>
        <w:spacing w:after="0" w:line="240" w:lineRule="auto"/>
      </w:pPr>
      <w:r>
        <w:separator/>
      </w:r>
    </w:p>
  </w:endnote>
  <w:endnote w:type="continuationSeparator" w:id="0">
    <w:p w14:paraId="349AD4E6" w14:textId="77777777" w:rsidR="00022F4E" w:rsidRDefault="00022F4E" w:rsidP="005D4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2B9F" w14:textId="45A97858" w:rsidR="005D4E5A" w:rsidRDefault="005D4E5A">
    <w:pPr>
      <w:pStyle w:val="Footer"/>
    </w:pPr>
    <w:r>
      <w:rPr>
        <w:noProof/>
      </w:rPr>
      <mc:AlternateContent>
        <mc:Choice Requires="wps">
          <w:drawing>
            <wp:anchor distT="0" distB="0" distL="0" distR="0" simplePos="0" relativeHeight="251659264" behindDoc="0" locked="0" layoutInCell="1" allowOverlap="1" wp14:anchorId="117AADF3" wp14:editId="3B8032D4">
              <wp:simplePos x="635" y="635"/>
              <wp:positionH relativeFrom="page">
                <wp:align>right</wp:align>
              </wp:positionH>
              <wp:positionV relativeFrom="page">
                <wp:align>bottom</wp:align>
              </wp:positionV>
              <wp:extent cx="1068705" cy="334010"/>
              <wp:effectExtent l="0" t="0" r="0" b="0"/>
              <wp:wrapNone/>
              <wp:docPr id="3845825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3E3DD7E" w14:textId="77B4FB78" w:rsidR="005D4E5A" w:rsidRPr="005D4E5A" w:rsidRDefault="005D4E5A" w:rsidP="005D4E5A">
                          <w:pPr>
                            <w:spacing w:after="0"/>
                            <w:rPr>
                              <w:rFonts w:ascii="Aptos" w:eastAsia="Aptos" w:hAnsi="Aptos" w:cs="Aptos"/>
                              <w:noProof/>
                              <w:color w:val="000000"/>
                              <w:sz w:val="16"/>
                              <w:szCs w:val="16"/>
                            </w:rPr>
                          </w:pPr>
                          <w:r w:rsidRPr="005D4E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17AADF3" id="_x0000_t202" coordsize="21600,21600" o:spt="202" path="m,l,21600r21600,l21600,xe">
              <v:stroke joinstyle="miter"/>
              <v:path gradientshapeok="t" o:connecttype="rect"/>
            </v:shapetype>
            <v:shape id="Text Box 2" o:spid="_x0000_s1026" type="#_x0000_t202" alt="Cisco Confidential" style="position:absolute;left:0;text-align:left;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fill o:detectmouseclick="t"/>
              <v:textbox style="mso-fit-shape-to-text:t" inset="0,0,20pt,15pt">
                <w:txbxContent>
                  <w:p w14:paraId="23E3DD7E" w14:textId="77B4FB78" w:rsidR="005D4E5A" w:rsidRPr="005D4E5A" w:rsidRDefault="005D4E5A" w:rsidP="005D4E5A">
                    <w:pPr>
                      <w:spacing w:after="0"/>
                      <w:rPr>
                        <w:rFonts w:ascii="Aptos" w:eastAsia="Aptos" w:hAnsi="Aptos" w:cs="Aptos"/>
                        <w:noProof/>
                        <w:color w:val="000000"/>
                        <w:sz w:val="16"/>
                        <w:szCs w:val="16"/>
                      </w:rPr>
                    </w:pPr>
                    <w:r w:rsidRPr="005D4E5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711F" w14:textId="431DBA1A" w:rsidR="005D4E5A" w:rsidRDefault="005D4E5A">
    <w:pPr>
      <w:pStyle w:val="Footer"/>
    </w:pPr>
    <w:r>
      <w:rPr>
        <w:noProof/>
      </w:rPr>
      <mc:AlternateContent>
        <mc:Choice Requires="wps">
          <w:drawing>
            <wp:anchor distT="0" distB="0" distL="0" distR="0" simplePos="0" relativeHeight="251660288" behindDoc="0" locked="0" layoutInCell="1" allowOverlap="1" wp14:anchorId="66795E65" wp14:editId="4AFFC4ED">
              <wp:simplePos x="914400" y="9420225"/>
              <wp:positionH relativeFrom="page">
                <wp:align>right</wp:align>
              </wp:positionH>
              <wp:positionV relativeFrom="page">
                <wp:align>bottom</wp:align>
              </wp:positionV>
              <wp:extent cx="1068705" cy="334010"/>
              <wp:effectExtent l="0" t="0" r="0" b="0"/>
              <wp:wrapNone/>
              <wp:docPr id="84674753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4A62AD82" w14:textId="46A743DF" w:rsidR="005D4E5A" w:rsidRPr="005D4E5A" w:rsidRDefault="005D4E5A" w:rsidP="005D4E5A">
                          <w:pPr>
                            <w:spacing w:after="0"/>
                            <w:rPr>
                              <w:rFonts w:ascii="Aptos" w:eastAsia="Aptos" w:hAnsi="Aptos" w:cs="Aptos"/>
                              <w:noProof/>
                              <w:color w:val="000000"/>
                              <w:sz w:val="16"/>
                              <w:szCs w:val="16"/>
                            </w:rPr>
                          </w:pPr>
                          <w:r w:rsidRPr="005D4E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795E65" id="_x0000_t202" coordsize="21600,21600" o:spt="202" path="m,l,21600r21600,l21600,xe">
              <v:stroke joinstyle="miter"/>
              <v:path gradientshapeok="t" o:connecttype="rect"/>
            </v:shapetype>
            <v:shape id="Text Box 3" o:spid="_x0000_s1027" type="#_x0000_t202" alt="Cisco Confidential" style="position:absolute;left:0;text-align:left;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fill o:detectmouseclick="t"/>
              <v:textbox style="mso-fit-shape-to-text:t" inset="0,0,20pt,15pt">
                <w:txbxContent>
                  <w:p w14:paraId="4A62AD82" w14:textId="46A743DF" w:rsidR="005D4E5A" w:rsidRPr="005D4E5A" w:rsidRDefault="005D4E5A" w:rsidP="005D4E5A">
                    <w:pPr>
                      <w:spacing w:after="0"/>
                      <w:rPr>
                        <w:rFonts w:ascii="Aptos" w:eastAsia="Aptos" w:hAnsi="Aptos" w:cs="Aptos"/>
                        <w:noProof/>
                        <w:color w:val="000000"/>
                        <w:sz w:val="16"/>
                        <w:szCs w:val="16"/>
                      </w:rPr>
                    </w:pPr>
                    <w:r w:rsidRPr="005D4E5A">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3D0A" w14:textId="675B49CC" w:rsidR="005D4E5A" w:rsidRDefault="005D4E5A">
    <w:pPr>
      <w:pStyle w:val="Footer"/>
    </w:pPr>
    <w:r>
      <w:rPr>
        <w:noProof/>
      </w:rPr>
      <mc:AlternateContent>
        <mc:Choice Requires="wps">
          <w:drawing>
            <wp:anchor distT="0" distB="0" distL="0" distR="0" simplePos="0" relativeHeight="251658240" behindDoc="0" locked="0" layoutInCell="1" allowOverlap="1" wp14:anchorId="342AF97E" wp14:editId="0A2C1722">
              <wp:simplePos x="635" y="635"/>
              <wp:positionH relativeFrom="page">
                <wp:align>right</wp:align>
              </wp:positionH>
              <wp:positionV relativeFrom="page">
                <wp:align>bottom</wp:align>
              </wp:positionV>
              <wp:extent cx="1068705" cy="334010"/>
              <wp:effectExtent l="0" t="0" r="0" b="0"/>
              <wp:wrapNone/>
              <wp:docPr id="111950014"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B867F89" w14:textId="51D79205" w:rsidR="005D4E5A" w:rsidRPr="005D4E5A" w:rsidRDefault="005D4E5A" w:rsidP="005D4E5A">
                          <w:pPr>
                            <w:spacing w:after="0"/>
                            <w:rPr>
                              <w:rFonts w:ascii="Aptos" w:eastAsia="Aptos" w:hAnsi="Aptos" w:cs="Aptos"/>
                              <w:noProof/>
                              <w:color w:val="000000"/>
                              <w:sz w:val="16"/>
                              <w:szCs w:val="16"/>
                            </w:rPr>
                          </w:pPr>
                          <w:r w:rsidRPr="005D4E5A">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2AF97E" id="_x0000_t202" coordsize="21600,21600" o:spt="202" path="m,l,21600r21600,l21600,xe">
              <v:stroke joinstyle="miter"/>
              <v:path gradientshapeok="t" o:connecttype="rect"/>
            </v:shapetype>
            <v:shape id="Text Box 1" o:spid="_x0000_s1028" type="#_x0000_t202" alt="Cisco Confidential" style="position:absolute;left:0;text-align:left;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fill o:detectmouseclick="t"/>
              <v:textbox style="mso-fit-shape-to-text:t" inset="0,0,20pt,15pt">
                <w:txbxContent>
                  <w:p w14:paraId="5B867F89" w14:textId="51D79205" w:rsidR="005D4E5A" w:rsidRPr="005D4E5A" w:rsidRDefault="005D4E5A" w:rsidP="005D4E5A">
                    <w:pPr>
                      <w:spacing w:after="0"/>
                      <w:rPr>
                        <w:rFonts w:ascii="Aptos" w:eastAsia="Aptos" w:hAnsi="Aptos" w:cs="Aptos"/>
                        <w:noProof/>
                        <w:color w:val="000000"/>
                        <w:sz w:val="16"/>
                        <w:szCs w:val="16"/>
                      </w:rPr>
                    </w:pPr>
                    <w:r w:rsidRPr="005D4E5A">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B5420" w14:textId="77777777" w:rsidR="00022F4E" w:rsidRDefault="00022F4E" w:rsidP="005D4E5A">
      <w:pPr>
        <w:spacing w:after="0" w:line="240" w:lineRule="auto"/>
      </w:pPr>
      <w:r>
        <w:separator/>
      </w:r>
    </w:p>
  </w:footnote>
  <w:footnote w:type="continuationSeparator" w:id="0">
    <w:p w14:paraId="5FF7CF26" w14:textId="77777777" w:rsidR="00022F4E" w:rsidRDefault="00022F4E" w:rsidP="005D4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6C36"/>
    <w:multiLevelType w:val="multilevel"/>
    <w:tmpl w:val="5BB47E7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4352E90"/>
    <w:multiLevelType w:val="hybridMultilevel"/>
    <w:tmpl w:val="79E26876"/>
    <w:lvl w:ilvl="0" w:tplc="E1421B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032DAB"/>
    <w:multiLevelType w:val="multilevel"/>
    <w:tmpl w:val="46E8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637833">
    <w:abstractNumId w:val="1"/>
  </w:num>
  <w:num w:numId="2" w16cid:durableId="2823590">
    <w:abstractNumId w:val="0"/>
  </w:num>
  <w:num w:numId="3" w16cid:durableId="68579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5A"/>
    <w:rsid w:val="00022F4E"/>
    <w:rsid w:val="0010618F"/>
    <w:rsid w:val="001A1ED9"/>
    <w:rsid w:val="003876F0"/>
    <w:rsid w:val="00425450"/>
    <w:rsid w:val="0047440C"/>
    <w:rsid w:val="004E3B12"/>
    <w:rsid w:val="005007A8"/>
    <w:rsid w:val="005D4E5A"/>
    <w:rsid w:val="006916A6"/>
    <w:rsid w:val="008E7642"/>
    <w:rsid w:val="00D252AA"/>
    <w:rsid w:val="00DC600E"/>
    <w:rsid w:val="00DF6E41"/>
    <w:rsid w:val="00E45742"/>
    <w:rsid w:val="00E558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C825"/>
  <w15:chartTrackingRefBased/>
  <w15:docId w15:val="{E9D000B4-F46B-419C-A082-86D0FE00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42"/>
    <w:pPr>
      <w:jc w:val="both"/>
    </w:pPr>
  </w:style>
  <w:style w:type="paragraph" w:styleId="Heading1">
    <w:name w:val="heading 1"/>
    <w:basedOn w:val="Normal"/>
    <w:next w:val="Normal"/>
    <w:link w:val="Heading1Char"/>
    <w:uiPriority w:val="9"/>
    <w:qFormat/>
    <w:rsid w:val="00E45742"/>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3876F0"/>
    <w:pPr>
      <w:keepNext/>
      <w:keepLines/>
      <w:numPr>
        <w:numId w:val="2"/>
      </w:numPr>
      <w:spacing w:before="240" w:after="240" w:line="240" w:lineRule="auto"/>
      <w:ind w:hanging="360"/>
      <w:outlineLvl w:val="1"/>
    </w:pPr>
    <w:rPr>
      <w:rFonts w:ascii="Arial" w:eastAsiaTheme="majorEastAsia" w:hAnsi="Arial" w:cstheme="majorBidi"/>
      <w:b/>
      <w:bCs/>
      <w:color w:val="0F4761" w:themeColor="accent1" w:themeShade="BF"/>
      <w:sz w:val="32"/>
      <w:szCs w:val="26"/>
    </w:rPr>
  </w:style>
  <w:style w:type="paragraph" w:styleId="Heading3">
    <w:name w:val="heading 3"/>
    <w:basedOn w:val="Normal"/>
    <w:next w:val="Normal"/>
    <w:link w:val="Heading3Char"/>
    <w:uiPriority w:val="9"/>
    <w:semiHidden/>
    <w:unhideWhenUsed/>
    <w:qFormat/>
    <w:rsid w:val="005D4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6F0"/>
    <w:rPr>
      <w:rFonts w:ascii="Arial" w:eastAsiaTheme="majorEastAsia" w:hAnsi="Arial" w:cstheme="majorBidi"/>
      <w:b/>
      <w:bCs/>
      <w:color w:val="0F4761" w:themeColor="accent1" w:themeShade="BF"/>
      <w:sz w:val="32"/>
      <w:szCs w:val="26"/>
    </w:rPr>
  </w:style>
  <w:style w:type="table" w:customStyle="1" w:styleId="NoteCell">
    <w:name w:val="Note Cell"/>
    <w:basedOn w:val="TableNormal"/>
    <w:uiPriority w:val="99"/>
    <w:rsid w:val="0047440C"/>
    <w:pPr>
      <w:spacing w:after="0" w:line="240" w:lineRule="auto"/>
    </w:pPr>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Callout">
    <w:name w:val="Callout"/>
    <w:basedOn w:val="TableNormal"/>
    <w:uiPriority w:val="99"/>
    <w:rsid w:val="0047440C"/>
    <w:pPr>
      <w:spacing w:after="0" w:line="240" w:lineRule="auto"/>
    </w:pPr>
    <w:rPr>
      <w:sz w:val="20"/>
    </w:rPr>
    <w:tblPr>
      <w:tblCellMar>
        <w:top w:w="58" w:type="dxa"/>
        <w:left w:w="58" w:type="dxa"/>
        <w:bottom w:w="58" w:type="dxa"/>
        <w:right w:w="58" w:type="dxa"/>
      </w:tblCellMar>
    </w:tblPr>
    <w:tcPr>
      <w:shd w:val="clear" w:color="auto" w:fill="auto"/>
    </w:tcPr>
  </w:style>
  <w:style w:type="table" w:customStyle="1" w:styleId="CalloutNote">
    <w:name w:val="Callout.Note"/>
    <w:basedOn w:val="Callout"/>
    <w:uiPriority w:val="99"/>
    <w:rsid w:val="0047440C"/>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ScrollNote">
    <w:name w:val="Scroll Note"/>
    <w:basedOn w:val="TableNormal"/>
    <w:uiPriority w:val="99"/>
    <w:qFormat/>
    <w:rsid w:val="00425450"/>
    <w:pPr>
      <w:keepLines/>
      <w:spacing w:before="120" w:after="120" w:line="240" w:lineRule="auto"/>
      <w:ind w:left="173" w:right="259"/>
    </w:pPr>
    <w:rPr>
      <w:rFonts w:ascii="Arial" w:eastAsiaTheme="minorHAnsi" w:hAnsi="Arial"/>
      <w:kern w:val="0"/>
      <w:sz w:val="20"/>
      <w:szCs w:val="22"/>
      <w:lang w:eastAsia="en-US"/>
      <w14:ligatures w14:val="none"/>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rPr>
      <w:cantSplit/>
    </w:trPr>
    <w:tcPr>
      <w:shd w:val="clear" w:color="auto" w:fill="FFFFE0"/>
      <w:vAlign w:val="center"/>
    </w:tcPr>
    <w:tblStylePr w:type="firstRow">
      <w:pPr>
        <w:jc w:val="left"/>
      </w:pPr>
      <w:rPr>
        <w:b/>
      </w:rPr>
    </w:tblStylePr>
  </w:style>
  <w:style w:type="paragraph" w:styleId="Title">
    <w:name w:val="Title"/>
    <w:basedOn w:val="Normal"/>
    <w:next w:val="Normal"/>
    <w:link w:val="TitleChar"/>
    <w:uiPriority w:val="10"/>
    <w:qFormat/>
    <w:rsid w:val="00E45742"/>
    <w:pPr>
      <w:spacing w:after="80" w:line="240" w:lineRule="auto"/>
      <w:contextualSpacing/>
    </w:pPr>
    <w:rPr>
      <w:rFonts w:asciiTheme="majorHAnsi" w:eastAsiaTheme="majorEastAsia" w:hAnsiTheme="majorHAnsi" w:cstheme="majorBidi"/>
      <w:color w:val="0F4761" w:themeColor="accent1" w:themeShade="BF"/>
      <w:spacing w:val="-10"/>
      <w:kern w:val="28"/>
      <w:sz w:val="40"/>
      <w:szCs w:val="56"/>
    </w:rPr>
  </w:style>
  <w:style w:type="character" w:customStyle="1" w:styleId="TitleChar">
    <w:name w:val="Title Char"/>
    <w:basedOn w:val="DefaultParagraphFont"/>
    <w:link w:val="Title"/>
    <w:uiPriority w:val="10"/>
    <w:rsid w:val="00E45742"/>
    <w:rPr>
      <w:rFonts w:asciiTheme="majorHAnsi" w:eastAsiaTheme="majorEastAsia" w:hAnsiTheme="majorHAnsi" w:cstheme="majorBidi"/>
      <w:color w:val="0F4761" w:themeColor="accent1" w:themeShade="BF"/>
      <w:spacing w:val="-10"/>
      <w:kern w:val="28"/>
      <w:sz w:val="40"/>
      <w:szCs w:val="56"/>
    </w:rPr>
  </w:style>
  <w:style w:type="paragraph" w:customStyle="1" w:styleId="System">
    <w:name w:val="System"/>
    <w:basedOn w:val="Normal"/>
    <w:link w:val="SystemChar"/>
    <w:qFormat/>
    <w:rsid w:val="00E45742"/>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120" w:line="240" w:lineRule="auto"/>
      <w:ind w:left="720"/>
      <w:jc w:val="left"/>
    </w:pPr>
    <w:rPr>
      <w:rFonts w:ascii="Consolas" w:hAnsi="Consolas"/>
      <w:bCs/>
      <w:sz w:val="22"/>
    </w:rPr>
  </w:style>
  <w:style w:type="character" w:customStyle="1" w:styleId="SystemChar">
    <w:name w:val="System Char"/>
    <w:basedOn w:val="DefaultParagraphFont"/>
    <w:link w:val="System"/>
    <w:rsid w:val="00E45742"/>
    <w:rPr>
      <w:rFonts w:ascii="Consolas" w:hAnsi="Consolas"/>
      <w:bCs/>
      <w:sz w:val="22"/>
      <w:shd w:val="clear" w:color="auto" w:fill="F2F2F2" w:themeFill="background1" w:themeFillShade="F2"/>
    </w:rPr>
  </w:style>
  <w:style w:type="character" w:customStyle="1" w:styleId="Heading1Char">
    <w:name w:val="Heading 1 Char"/>
    <w:basedOn w:val="DefaultParagraphFont"/>
    <w:link w:val="Heading1"/>
    <w:uiPriority w:val="9"/>
    <w:rsid w:val="00E4574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D4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5A"/>
    <w:rPr>
      <w:rFonts w:eastAsiaTheme="majorEastAsia" w:cstheme="majorBidi"/>
      <w:color w:val="272727" w:themeColor="text1" w:themeTint="D8"/>
    </w:rPr>
  </w:style>
  <w:style w:type="paragraph" w:styleId="Subtitle">
    <w:name w:val="Subtitle"/>
    <w:basedOn w:val="Normal"/>
    <w:next w:val="Normal"/>
    <w:link w:val="SubtitleChar"/>
    <w:uiPriority w:val="11"/>
    <w:qFormat/>
    <w:rsid w:val="005D4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5A"/>
    <w:pPr>
      <w:spacing w:before="160"/>
      <w:jc w:val="center"/>
    </w:pPr>
    <w:rPr>
      <w:i/>
      <w:iCs/>
      <w:color w:val="404040" w:themeColor="text1" w:themeTint="BF"/>
    </w:rPr>
  </w:style>
  <w:style w:type="character" w:customStyle="1" w:styleId="QuoteChar">
    <w:name w:val="Quote Char"/>
    <w:basedOn w:val="DefaultParagraphFont"/>
    <w:link w:val="Quote"/>
    <w:uiPriority w:val="29"/>
    <w:rsid w:val="005D4E5A"/>
    <w:rPr>
      <w:i/>
      <w:iCs/>
      <w:color w:val="404040" w:themeColor="text1" w:themeTint="BF"/>
    </w:rPr>
  </w:style>
  <w:style w:type="paragraph" w:styleId="ListParagraph">
    <w:name w:val="List Paragraph"/>
    <w:basedOn w:val="Normal"/>
    <w:uiPriority w:val="34"/>
    <w:qFormat/>
    <w:rsid w:val="005D4E5A"/>
    <w:pPr>
      <w:ind w:left="720"/>
      <w:contextualSpacing/>
    </w:pPr>
  </w:style>
  <w:style w:type="character" w:styleId="IntenseEmphasis">
    <w:name w:val="Intense Emphasis"/>
    <w:basedOn w:val="DefaultParagraphFont"/>
    <w:uiPriority w:val="21"/>
    <w:qFormat/>
    <w:rsid w:val="005D4E5A"/>
    <w:rPr>
      <w:i/>
      <w:iCs/>
      <w:color w:val="0F4761" w:themeColor="accent1" w:themeShade="BF"/>
    </w:rPr>
  </w:style>
  <w:style w:type="paragraph" w:styleId="IntenseQuote">
    <w:name w:val="Intense Quote"/>
    <w:basedOn w:val="Normal"/>
    <w:next w:val="Normal"/>
    <w:link w:val="IntenseQuoteChar"/>
    <w:uiPriority w:val="30"/>
    <w:qFormat/>
    <w:rsid w:val="005D4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5A"/>
    <w:rPr>
      <w:i/>
      <w:iCs/>
      <w:color w:val="0F4761" w:themeColor="accent1" w:themeShade="BF"/>
    </w:rPr>
  </w:style>
  <w:style w:type="character" w:styleId="IntenseReference">
    <w:name w:val="Intense Reference"/>
    <w:basedOn w:val="DefaultParagraphFont"/>
    <w:uiPriority w:val="32"/>
    <w:qFormat/>
    <w:rsid w:val="005D4E5A"/>
    <w:rPr>
      <w:b/>
      <w:bCs/>
      <w:smallCaps/>
      <w:color w:val="0F4761" w:themeColor="accent1" w:themeShade="BF"/>
      <w:spacing w:val="5"/>
    </w:rPr>
  </w:style>
  <w:style w:type="paragraph" w:styleId="Footer">
    <w:name w:val="footer"/>
    <w:basedOn w:val="Normal"/>
    <w:link w:val="FooterChar"/>
    <w:uiPriority w:val="99"/>
    <w:unhideWhenUsed/>
    <w:rsid w:val="005D4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Pace (rpace)</dc:creator>
  <cp:keywords/>
  <dc:description/>
  <cp:lastModifiedBy>Rich Pace (rpace)</cp:lastModifiedBy>
  <cp:revision>2</cp:revision>
  <cp:lastPrinted>2026-05-18T19:55:00Z</cp:lastPrinted>
  <dcterms:created xsi:type="dcterms:W3CDTF">2026-05-18T19:47:00Z</dcterms:created>
  <dcterms:modified xsi:type="dcterms:W3CDTF">2026-05-18T19:56:00Z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6ac38be,24ad38a,3278578c</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