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Master Deployment Guide by Contract</w:t>
      </w:r>
    </w:p>
    <w:p>
      <w:pPr>
        <w:jc w:val="center"/>
      </w:pPr>
      <w:r>
        <w:rPr>
          <w:i/>
          <w:color w:val="5A5A5A"/>
          <w:sz w:val="24"/>
        </w:rPr>
        <w:t>NQ, ZN, GC, 6E, and CL article-analysis workflows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9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left"/>
            </w:pPr>
            <w:r>
              <w:rPr>
                <w:b/>
                <w:color w:val="1F4E79"/>
              </w:rPr>
              <w:t>Purpose</w:t>
              <w:br/>
            </w:r>
            <w:r>
              <w:t>Tell you when to deploy each workflow, what it is best at, where it is weak, and how to use outputs to shape bias without letting them dictate trades.</w:t>
            </w:r>
          </w:p>
        </w:tc>
      </w:tr>
    </w:tbl>
    <w:p/>
    <w:p>
      <w:pPr>
        <w:pBdr>
          <w:bottom w:val="single" w:sz="6" w:space="1" w:color="D9E2F3"/>
        </w:pBdr>
      </w:pPr>
    </w:p>
    <w:p>
      <w:pPr>
        <w:pStyle w:val="Heading1"/>
      </w:pPr>
      <w:r>
        <w:rPr>
          <w:color w:val="1F4E79"/>
        </w:rPr>
        <w:t>Contract fit at a glance</w:t>
      </w:r>
    </w:p>
    <w:p>
      <w:pPr>
        <w:spacing w:after="160"/>
      </w:pPr>
      <w:r>
        <w:t>The same architecture works across contracts, but the payoff comes from different transmission maps. Use the workflow where narrative quality is poor, transmission is cross-asset, and there is real risk of confusing a media explanation with a tradable repricing.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Contract</w:t>
            </w:r>
          </w:p>
        </w:tc>
        <w:tc>
          <w:tcPr>
            <w:tcW w:type="dxa" w:w="1987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Highest-value use</w:t>
            </w:r>
          </w:p>
        </w:tc>
        <w:tc>
          <w:tcPr>
            <w:tcW w:type="dxa" w:w="1987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Lowest-value use</w:t>
            </w:r>
          </w:p>
        </w:tc>
        <w:tc>
          <w:tcPr>
            <w:tcW w:type="dxa" w:w="1987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Primary confirmation stack</w:t>
            </w:r>
          </w:p>
        </w:tc>
        <w:tc>
          <w:tcPr>
            <w:tcW w:type="dxa" w:w="1987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t>Best deployment window</w:t>
            </w:r>
          </w:p>
        </w:tc>
      </w:tr>
      <w:tr>
        <w:tc>
          <w:tcPr>
            <w:tcW w:type="dxa" w:w="19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t>NQ</w:t>
            </w:r>
          </w:p>
        </w:tc>
        <w:tc>
          <w:tcPr>
            <w:tcW w:type="dxa" w:w="19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t>Sort real catalyst from AI / megacap / rates storytelling</w:t>
            </w:r>
          </w:p>
        </w:tc>
        <w:tc>
          <w:tcPr>
            <w:tcW w:type="dxa" w:w="19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t>Single broad article as standalone signal</w:t>
            </w:r>
          </w:p>
        </w:tc>
        <w:tc>
          <w:tcPr>
            <w:tcW w:type="dxa" w:w="19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t>10Y yield, SOX, NVDA / MSFT, QQQ breadth</w:t>
            </w:r>
          </w:p>
        </w:tc>
        <w:tc>
          <w:tcPr>
            <w:tcW w:type="dxa" w:w="19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t>Premarket, post-headline, after large move before chase</w:t>
            </w:r>
          </w:p>
        </w:tc>
      </w:tr>
      <w:tr>
        <w:tc>
          <w:tcPr>
            <w:tcW w:type="dxa" w:w="19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t>ZN</w:t>
            </w:r>
          </w:p>
        </w:tc>
        <w:tc>
          <w:tcPr>
            <w:tcW w:type="dxa" w:w="19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t>Decompose inflation vs growth vs Fed vs supply narrative</w:t>
            </w:r>
          </w:p>
        </w:tc>
        <w:tc>
          <w:tcPr>
            <w:tcW w:type="dxa" w:w="19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t>Equity-style or company-specific commentary</w:t>
            </w:r>
          </w:p>
        </w:tc>
        <w:tc>
          <w:tcPr>
            <w:tcW w:type="dxa" w:w="19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t>Cash Treasuries, curve, Fed path repricing, auction response</w:t>
            </w:r>
          </w:p>
        </w:tc>
        <w:tc>
          <w:tcPr>
            <w:tcW w:type="dxa" w:w="19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t>Ahead of macro data, Fed communication, auctions</w:t>
            </w:r>
          </w:p>
        </w:tc>
      </w:tr>
      <w:tr>
        <w:tc>
          <w:tcPr>
            <w:tcW w:type="dxa" w:w="19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t>GC</w:t>
            </w:r>
          </w:p>
        </w:tc>
        <w:tc>
          <w:tcPr>
            <w:tcW w:type="dxa" w:w="19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t>Resolve driver hierarchy: real yields, DXY, geopolitics, reserve demand</w:t>
            </w:r>
          </w:p>
        </w:tc>
        <w:tc>
          <w:tcPr>
            <w:tcW w:type="dxa" w:w="19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t>Lazy safe-haven storytelling without cross-asset proof</w:t>
            </w:r>
          </w:p>
        </w:tc>
        <w:tc>
          <w:tcPr>
            <w:tcW w:type="dxa" w:w="19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t>Real yields, DXY, silver, miners, Treasury reaction</w:t>
            </w:r>
          </w:p>
        </w:tc>
        <w:tc>
          <w:tcPr>
            <w:tcW w:type="dxa" w:w="19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t>After geopolitical clusters, rate shocks, central-bank themes</w:t>
            </w:r>
          </w:p>
        </w:tc>
      </w:tr>
      <w:tr>
        <w:tc>
          <w:tcPr>
            <w:tcW w:type="dxa" w:w="19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t>6E</w:t>
            </w:r>
          </w:p>
        </w:tc>
        <w:tc>
          <w:tcPr>
            <w:tcW w:type="dxa" w:w="19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t>Relative-value read: ECB vs Fed and Europe vs US growth</w:t>
            </w:r>
          </w:p>
        </w:tc>
        <w:tc>
          <w:tcPr>
            <w:tcW w:type="dxa" w:w="19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t>Generic risk-on/off story with no EUR-vs-USD mechanism</w:t>
            </w:r>
          </w:p>
        </w:tc>
        <w:tc>
          <w:tcPr>
            <w:tcW w:type="dxa" w:w="19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t>Rate spreads, DXY, bunds vs Treasuries, energy impulse</w:t>
            </w:r>
          </w:p>
        </w:tc>
        <w:tc>
          <w:tcPr>
            <w:tcW w:type="dxa" w:w="19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t>Around central-bank narratives and relative-growth headlines</w:t>
            </w:r>
          </w:p>
        </w:tc>
      </w:tr>
      <w:tr>
        <w:tc>
          <w:tcPr>
            <w:tcW w:type="dxa" w:w="19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t>CL</w:t>
            </w:r>
          </w:p>
        </w:tc>
        <w:tc>
          <w:tcPr>
            <w:tcW w:type="dxa" w:w="19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t>Physical and policy transmission: OPEC+, inventories, refinery and shipping</w:t>
            </w:r>
          </w:p>
        </w:tc>
        <w:tc>
          <w:tcPr>
            <w:tcW w:type="dxa" w:w="19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t>Macro commentary that ignores physical oil data</w:t>
            </w:r>
          </w:p>
        </w:tc>
        <w:tc>
          <w:tcPr>
            <w:tcW w:type="dxa" w:w="19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t>Prompt spread, products, inventory data, crack behavior, dollar</w:t>
            </w:r>
          </w:p>
        </w:tc>
        <w:tc>
          <w:tcPr>
            <w:tcW w:type="dxa" w:w="19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t>Ahead of EIA/API, OPEC+, sanctions, outages, geopolitics</w:t>
            </w:r>
          </w:p>
        </w:tc>
      </w:tr>
    </w:tbl>
    <w:p>
      <w:pPr>
        <w:pStyle w:val="Heading1"/>
      </w:pPr>
      <w:r>
        <w:rPr>
          <w:color w:val="1F4E79"/>
        </w:rPr>
        <w:t>Shared operator doctrine</w:t>
      </w:r>
    </w:p>
    <w:p>
      <w:pPr>
        <w:pStyle w:val="ListBullet"/>
      </w:pPr>
      <w:r>
        <w:t>Use the workflow as a context engine, thesis filter, and narrative validator.</w:t>
      </w:r>
    </w:p>
    <w:p>
      <w:pPr>
        <w:pStyle w:val="ListBullet"/>
      </w:pPr>
      <w:r>
        <w:t>Use price, structure, positioning, and confirmation to decide execution.</w:t>
      </w:r>
    </w:p>
    <w:p>
      <w:pPr>
        <w:pStyle w:val="ListBullet"/>
      </w:pPr>
      <w:r>
        <w:t>If the workflow says bullish but the market rejects the thesis cleanly, respect the rejection.</w:t>
      </w:r>
    </w:p>
    <w:p>
      <w:pPr>
        <w:pStyle w:val="ListBullet"/>
      </w:pPr>
      <w:r>
        <w:t>Never let a strong article become a permission slip for a weak trade.</w:t>
      </w:r>
    </w:p>
    <w:p>
      <w:pPr>
        <w:pStyle w:val="Heading1"/>
      </w:pPr>
      <w:r>
        <w:rPr>
          <w:color w:val="1F4E79"/>
        </w:rPr>
        <w:t>NQ - NASDAQ-100 Futures</w:t>
      </w:r>
    </w:p>
    <w:p>
      <w:pPr>
        <w:pStyle w:val="Heading2"/>
      </w:pPr>
      <w:r>
        <w:rPr>
          <w:color w:val="4472C4"/>
        </w:rPr>
        <w:t>Highest-value insightful prospect</w:t>
      </w:r>
    </w:p>
    <w:p>
      <w:r>
        <w:t>Most valuable when the market is arguing about rates, AI capex, semis leadership, or whether a macro headline is truly index-wide or just megacap-specific. Least valuable when you try to derive high-confidence directional conviction from one generic market article.</w:t>
      </w:r>
    </w:p>
    <w:p>
      <w:pPr>
        <w:pStyle w:val="Heading2"/>
      </w:pPr>
      <w:r>
        <w:rPr>
          <w:color w:val="4472C4"/>
        </w:rPr>
        <w:t>Confirmation stack</w:t>
      </w:r>
    </w:p>
    <w:p>
      <w:r>
        <w:t>10Y yield direction and magnitude; SOX relative strength; NVDA / MSFT / AAPL leadership; QQQ breadth; whether price accepts above or below key overnight structure.</w:t>
      </w:r>
    </w:p>
    <w:p>
      <w:pPr>
        <w:pStyle w:val="Heading2"/>
      </w:pPr>
      <w:r>
        <w:rPr>
          <w:color w:val="4472C4"/>
        </w:rPr>
        <w:t>Best deployment windows</w:t>
      </w:r>
    </w:p>
    <w:p>
      <w:r>
        <w:t>Run before macro events with obvious tech-duration implications, after major AI or megacap article clusters, and after large moves when the media explanation may be backward-filled.</w:t>
      </w:r>
    </w:p>
    <w:p>
      <w:pPr>
        <w:pStyle w:val="Heading2"/>
      </w:pPr>
      <w:r>
        <w:rPr>
          <w:color w:val="4472C4"/>
        </w:rPr>
        <w:t>Least valuable or most dangerous use</w:t>
      </w:r>
    </w:p>
    <w:p>
      <w:r>
        <w:t>Do not use article logic as primary guidance for microstructure scalps, rotation-only sessions, or when index breadth and leadership clearly reject the narrative.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1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t>Use output to inform</w:t>
            </w:r>
          </w:p>
        </w:tc>
        <w:tc>
          <w:tcPr>
            <w:tcW w:type="dxa" w:w="3312"/>
            <w:shd w:fill="EAF1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t>Do not let output dictate</w:t>
            </w:r>
          </w:p>
        </w:tc>
        <w:tc>
          <w:tcPr>
            <w:tcW w:type="dxa" w:w="3312"/>
            <w:shd w:fill="EAF1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t>Immediate follow-through question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t>bias, horizon, leader/sensitivity map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t>exact entry, stop, or size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t>Are yields, semis, and leadership confirming?</w:t>
            </w:r>
          </w:p>
        </w:tc>
      </w:tr>
    </w:tbl>
    <w:p>
      <w:pPr>
        <w:pStyle w:val="Heading1"/>
      </w:pPr>
      <w:r>
        <w:rPr>
          <w:color w:val="1F4E79"/>
        </w:rPr>
        <w:t>ZN - 10-Year Treasury Note Futures</w:t>
      </w:r>
    </w:p>
    <w:p>
      <w:pPr>
        <w:pStyle w:val="Heading2"/>
      </w:pPr>
      <w:r>
        <w:rPr>
          <w:color w:val="4472C4"/>
        </w:rPr>
        <w:t>Highest-value insightful prospect</w:t>
      </w:r>
    </w:p>
    <w:p>
      <w:r>
        <w:t>Most valuable when the market is repricing inflation, growth, Fed path, supply, or term premium. Least valuable for company-specific or equity-style business news that has no clear Treasury transmission.</w:t>
      </w:r>
    </w:p>
    <w:p>
      <w:pPr>
        <w:pStyle w:val="Heading2"/>
      </w:pPr>
      <w:r>
        <w:rPr>
          <w:color w:val="4472C4"/>
        </w:rPr>
        <w:t>Confirmation stack</w:t>
      </w:r>
    </w:p>
    <w:p>
      <w:r>
        <w:t>Cash Treasury yield move; 2s10s and 5s30s context; OIS / Fed path repricing; auction tails and indirect demand; breakevens and real yields; whether ZN is the right expression vehicle versus a curve trade.</w:t>
      </w:r>
    </w:p>
    <w:p>
      <w:pPr>
        <w:pStyle w:val="Heading2"/>
      </w:pPr>
      <w:r>
        <w:rPr>
          <w:color w:val="4472C4"/>
        </w:rPr>
        <w:t>Best deployment windows</w:t>
      </w:r>
    </w:p>
    <w:p>
      <w:r>
        <w:t>Run ahead of CPI, PCE, NFP, ISM, FOMC, Fed speakers, Treasury refunding and auctions, and immediately after articles that claim to explain a rates move.</w:t>
      </w:r>
    </w:p>
    <w:p>
      <w:pPr>
        <w:pStyle w:val="Heading2"/>
      </w:pPr>
      <w:r>
        <w:rPr>
          <w:color w:val="4472C4"/>
        </w:rPr>
        <w:t>Least valuable or most dangerous use</w:t>
      </w:r>
    </w:p>
    <w:p>
      <w:r>
        <w:t>Do not let the workflow dictate entries or turn every macro headline into an outright duration trade. Many stories are curve-specific, already priced, or better expressed elsewhere on the Treasury complex.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1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t>Use output to inform</w:t>
            </w:r>
          </w:p>
        </w:tc>
        <w:tc>
          <w:tcPr>
            <w:tcW w:type="dxa" w:w="3312"/>
            <w:shd w:fill="EAF1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t>Do not let output dictate</w:t>
            </w:r>
          </w:p>
        </w:tc>
        <w:tc>
          <w:tcPr>
            <w:tcW w:type="dxa" w:w="3312"/>
            <w:shd w:fill="EAF1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t>Immediate follow-through question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t>Fed-path relevance, outright versus curve context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t>outright long/short without market confirmation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t>Is this growth, inflation, supply, or policy repricing?</w:t>
            </w:r>
          </w:p>
        </w:tc>
      </w:tr>
    </w:tbl>
    <w:p>
      <w:pPr>
        <w:pStyle w:val="Heading1"/>
      </w:pPr>
      <w:r>
        <w:rPr>
          <w:color w:val="1F4E79"/>
        </w:rPr>
        <w:t>GC - Gold Futures</w:t>
      </w:r>
    </w:p>
    <w:p>
      <w:pPr>
        <w:pStyle w:val="Heading2"/>
      </w:pPr>
      <w:r>
        <w:rPr>
          <w:color w:val="4472C4"/>
        </w:rPr>
        <w:t>Highest-value insightful prospect</w:t>
      </w:r>
    </w:p>
    <w:p>
      <w:r>
        <w:t>Most valuable when multiple drivers compete and the media collapses them into one lazy explanation. Least valuable when the story is just safe-haven rhetoric with no support from rates, dollar, or cross-asset behavior.</w:t>
      </w:r>
    </w:p>
    <w:p>
      <w:pPr>
        <w:pStyle w:val="Heading2"/>
      </w:pPr>
      <w:r>
        <w:rPr>
          <w:color w:val="4472C4"/>
        </w:rPr>
        <w:t>Confirmation stack</w:t>
      </w:r>
    </w:p>
    <w:p>
      <w:r>
        <w:t>US real yields; DXY; silver and miners for confirmation; Treasury response; geopolitical persistence versus one-off headline shock; central-bank buying or reserve-diversification evidence.</w:t>
      </w:r>
    </w:p>
    <w:p>
      <w:pPr>
        <w:pStyle w:val="Heading2"/>
      </w:pPr>
      <w:r>
        <w:rPr>
          <w:color w:val="4472C4"/>
        </w:rPr>
        <w:t>Best deployment windows</w:t>
      </w:r>
    </w:p>
    <w:p>
      <w:r>
        <w:t>Run after geopolitical clusters, rate shocks, central-bank reserve stories, and when the market is debating inflation hedge versus recession hedge versus liquidity stress.</w:t>
      </w:r>
    </w:p>
    <w:p>
      <w:pPr>
        <w:pStyle w:val="Heading2"/>
      </w:pPr>
      <w:r>
        <w:rPr>
          <w:color w:val="4472C4"/>
        </w:rPr>
        <w:t>Least valuable or most dangerous use</w:t>
      </w:r>
    </w:p>
    <w:p>
      <w:r>
        <w:t>Gold is unusually narrative-heavy. If real yields and the dollar disagree with the article, downgrade conviction fast unless there is a very strong geopolitical or reserve-demand reason not 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1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t>Use output to inform</w:t>
            </w:r>
          </w:p>
        </w:tc>
        <w:tc>
          <w:tcPr>
            <w:tcW w:type="dxa" w:w="3312"/>
            <w:shd w:fill="EAF1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t>Do not let output dictate</w:t>
            </w:r>
          </w:p>
        </w:tc>
        <w:tc>
          <w:tcPr>
            <w:tcW w:type="dxa" w:w="3312"/>
            <w:shd w:fill="EAF1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t>Immediate follow-through question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t>driver hierarchy and durability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t>safe-haven conviction from headline alone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t>Are real yields and the dollar agreeing or fighting the story?</w:t>
            </w:r>
          </w:p>
        </w:tc>
      </w:tr>
    </w:tbl>
    <w:p>
      <w:pPr>
        <w:pStyle w:val="Heading1"/>
      </w:pPr>
      <w:r>
        <w:rPr>
          <w:color w:val="1F4E79"/>
        </w:rPr>
        <w:t>6E - Euro FX Futures</w:t>
      </w:r>
    </w:p>
    <w:p>
      <w:pPr>
        <w:pStyle w:val="Heading2"/>
      </w:pPr>
      <w:r>
        <w:rPr>
          <w:color w:val="4472C4"/>
        </w:rPr>
        <w:t>Highest-value insightful prospect</w:t>
      </w:r>
    </w:p>
    <w:p>
      <w:r>
        <w:t>Most valuable when the true question is relative-value: ECB versus Fed, Europe versus US growth, or euro-side versus dollar-side repricing. Least valuable for broad risk headlines that never specify which side of the pair is actually moving.</w:t>
      </w:r>
    </w:p>
    <w:p>
      <w:pPr>
        <w:pStyle w:val="Heading2"/>
      </w:pPr>
      <w:r>
        <w:rPr>
          <w:color w:val="4472C4"/>
        </w:rPr>
        <w:t>Confirmation stack</w:t>
      </w:r>
    </w:p>
    <w:p>
      <w:r>
        <w:t>Rate-spread behavior; DXY and broad-dollar tone; bunds versus Treasuries; Europe energy and trade impulse; whether the move is EUR-specific, USD-specific, or global-risk spillover.</w:t>
      </w:r>
    </w:p>
    <w:p>
      <w:pPr>
        <w:pStyle w:val="Heading2"/>
      </w:pPr>
      <w:r>
        <w:rPr>
          <w:color w:val="4472C4"/>
        </w:rPr>
        <w:t>Best deployment windows</w:t>
      </w:r>
    </w:p>
    <w:p>
      <w:r>
        <w:t>Run around ECB and Fed communication, relative-inflation and growth data, major Europe political risk headlines, and when articles simplify EURUSD into a one-factor story.</w:t>
      </w:r>
    </w:p>
    <w:p>
      <w:pPr>
        <w:pStyle w:val="Heading2"/>
      </w:pPr>
      <w:r>
        <w:rPr>
          <w:color w:val="4472C4"/>
        </w:rPr>
        <w:t>Least valuable or most dangerous use</w:t>
      </w:r>
    </w:p>
    <w:p>
      <w:r>
        <w:t>Do not treat every pro-Europe article as euro bullish. The workflow must force relative logic, not absolute storytelling.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1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t>Use output to inform</w:t>
            </w:r>
          </w:p>
        </w:tc>
        <w:tc>
          <w:tcPr>
            <w:tcW w:type="dxa" w:w="3312"/>
            <w:shd w:fill="EAF1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t>Do not let output dictate</w:t>
            </w:r>
          </w:p>
        </w:tc>
        <w:tc>
          <w:tcPr>
            <w:tcW w:type="dxa" w:w="3312"/>
            <w:shd w:fill="EAF1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t>Immediate follow-through question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t>which side of the pair matters more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t>absolute-Europe storytelling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t>Is this EUR-specific, USD-specific, or spread-driven?</w:t>
            </w:r>
          </w:p>
        </w:tc>
      </w:tr>
    </w:tbl>
    <w:p>
      <w:pPr>
        <w:pStyle w:val="Heading1"/>
      </w:pPr>
      <w:r>
        <w:rPr>
          <w:color w:val="1F4E79"/>
        </w:rPr>
        <w:t>CL - WTI Crude Oil Futures</w:t>
      </w:r>
    </w:p>
    <w:p>
      <w:pPr>
        <w:pStyle w:val="Heading2"/>
      </w:pPr>
      <w:r>
        <w:rPr>
          <w:color w:val="4472C4"/>
        </w:rPr>
        <w:t>Highest-value insightful prospect</w:t>
      </w:r>
    </w:p>
    <w:p>
      <w:r>
        <w:t>Most valuable when the story involves supply and logistics, OPEC+ policy, inventories, refinery outages, sanctions, or product pull-through. Least valuable when media explains every oil move with generic growth fears or vague geopolitics while ignoring physical market evidence.</w:t>
      </w:r>
    </w:p>
    <w:p>
      <w:pPr>
        <w:pStyle w:val="Heading2"/>
      </w:pPr>
      <w:r>
        <w:rPr>
          <w:color w:val="4472C4"/>
        </w:rPr>
        <w:t>Confirmation stack</w:t>
      </w:r>
    </w:p>
    <w:p>
      <w:r>
        <w:t>Front-month spread and curve shape; Brent / WTI behavior; gasoline and diesel cracks; API and EIA inventory details; refinery utilization and outages; shipping or sanctions evidence; dollar and risk backdrop.</w:t>
      </w:r>
    </w:p>
    <w:p>
      <w:pPr>
        <w:pStyle w:val="Heading2"/>
      </w:pPr>
      <w:r>
        <w:rPr>
          <w:color w:val="4472C4"/>
        </w:rPr>
        <w:t>Best deployment windows</w:t>
      </w:r>
    </w:p>
    <w:p>
      <w:r>
        <w:t>Run ahead of EIA/API releases, OPEC+ meetings, sanctions and shipping headlines, hurricanes, refinery outages, and when a geopolitical story claims crude should move dramatically.</w:t>
      </w:r>
    </w:p>
    <w:p>
      <w:pPr>
        <w:pStyle w:val="Heading2"/>
      </w:pPr>
      <w:r>
        <w:rPr>
          <w:color w:val="4472C4"/>
        </w:rPr>
        <w:t>Least valuable or most dangerous use</w:t>
      </w:r>
    </w:p>
    <w:p>
      <w:r>
        <w:t>Oil can react first in products or in the curve. If the article is loud but the physical confirmation stack is absent, treat it as weak until proven otherwise.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1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t>Use output to inform</w:t>
            </w:r>
          </w:p>
        </w:tc>
        <w:tc>
          <w:tcPr>
            <w:tcW w:type="dxa" w:w="3312"/>
            <w:shd w:fill="EAF1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t>Do not let output dictate</w:t>
            </w:r>
          </w:p>
        </w:tc>
        <w:tc>
          <w:tcPr>
            <w:tcW w:type="dxa" w:w="3312"/>
            <w:shd w:fill="EAF1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t>Immediate follow-through question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t>physical relevance and scenario framing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t>headline-only oil conviction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t>Is the physical stack confirming through spreads, products, or inventories?</w:t>
            </w:r>
          </w:p>
        </w:tc>
      </w:tr>
    </w:tbl>
    <w:p>
      <w:pPr>
        <w:pStyle w:val="Heading1"/>
      </w:pPr>
      <w:r>
        <w:rPr>
          <w:color w:val="1F4E79"/>
        </w:rPr>
        <w:t>Deployment sequence for live use</w:t>
      </w:r>
    </w:p>
    <w:p>
      <w:pPr>
        <w:pStyle w:val="ListNumber"/>
      </w:pPr>
      <w:r>
        <w:t>Relevance filter: does the article actually matter for this contract?</w:t>
      </w:r>
    </w:p>
    <w:p>
      <w:pPr>
        <w:pStyle w:val="ListNumber"/>
      </w:pPr>
      <w:r>
        <w:t>Transmission map: what economic or physical channel should carry the effect?</w:t>
      </w:r>
    </w:p>
    <w:p>
      <w:pPr>
        <w:pStyle w:val="ListNumber"/>
      </w:pPr>
      <w:r>
        <w:t>Pricing test: new information, confirmation of expectations, or post hoc narrative?</w:t>
      </w:r>
    </w:p>
    <w:p>
      <w:pPr>
        <w:pStyle w:val="ListNumber"/>
      </w:pPr>
      <w:r>
        <w:t>Confirmation stack: what cross-asset or contract-native signals should agree?</w:t>
      </w:r>
    </w:p>
    <w:p>
      <w:pPr>
        <w:pStyle w:val="ListNumber"/>
      </w:pPr>
      <w:r>
        <w:t>Execution handoff: only after confirmation do you decide whether the article should change setup preference, not exact trade mechanics.</w:t>
      </w:r>
    </w:p>
    <w:p>
      <w:pPr>
        <w:pStyle w:val="Heading1"/>
      </w:pPr>
      <w:r>
        <w:rPr>
          <w:color w:val="1F4E79"/>
        </w:rPr>
        <w:t>Red-light conditions</w:t>
      </w:r>
    </w:p>
    <w:p>
      <w:pPr>
        <w:pStyle w:val="ListBullet"/>
      </w:pPr>
      <w:r>
        <w:t>The article offers no new facts and merely re-labels an already-completed move.</w:t>
      </w:r>
    </w:p>
    <w:p>
      <w:pPr>
        <w:pStyle w:val="ListBullet"/>
      </w:pPr>
      <w:r>
        <w:t>Price action or the confirmation stack clearly rejects the thesis.</w:t>
      </w:r>
    </w:p>
    <w:p>
      <w:pPr>
        <w:pStyle w:val="ListBullet"/>
      </w:pPr>
      <w:r>
        <w:t>The story may be real, but the chosen contract is not the cleanest expression vehicle.</w:t>
      </w:r>
    </w:p>
    <w:p>
      <w:pPr>
        <w:pStyle w:val="ListBullet"/>
      </w:pPr>
      <w:r>
        <w:t>The market is dominated by intraday positioning, liquidation, or technical inventory adjustment rather than fundamental repricing.</w:t>
      </w:r>
    </w:p>
    <w:p>
      <w:pPr>
        <w:pStyle w:val="Heading1"/>
      </w:pPr>
      <w:r>
        <w:rPr>
          <w:color w:val="1F4E79"/>
        </w:rPr>
        <w:t>What is in the bundled contract folders</w:t>
      </w:r>
    </w:p>
    <w:p>
      <w:pPr>
        <w:pStyle w:val="ListBullet"/>
      </w:pPr>
      <w:r>
        <w:t>article selection protocol</w:t>
      </w:r>
    </w:p>
    <w:p>
      <w:pPr>
        <w:pStyle w:val="ListBullet"/>
      </w:pPr>
      <w:r>
        <w:t>narrative clustering and screening</w:t>
      </w:r>
    </w:p>
    <w:p>
      <w:pPr>
        <w:pStyle w:val="ListBullet"/>
      </w:pPr>
      <w:r>
        <w:t>deep analysis protocol</w:t>
      </w:r>
    </w:p>
    <w:p>
      <w:pPr>
        <w:pStyle w:val="ListBullet"/>
      </w:pPr>
      <w:r>
        <w:t>contract translation layer</w:t>
      </w:r>
    </w:p>
    <w:p>
      <w:pPr>
        <w:pStyle w:val="ListBullet"/>
      </w:pPr>
      <w:r>
        <w:t>deployment and trade-use doctrine</w:t>
      </w:r>
    </w:p>
    <w:p>
      <w:pPr>
        <w:pStyle w:val="ListBullet"/>
      </w:pPr>
      <w:r>
        <w:t>confirmation and invalidation playbook</w:t>
      </w:r>
    </w:p>
    <w:p>
      <w:pPr>
        <w:pStyle w:val="ListBullet"/>
      </w:pPr>
      <w:r>
        <w:t>pre-trade SOP</w:t>
      </w:r>
    </w:p>
    <w:p>
      <w:pPr>
        <w:pStyle w:val="ListBullet"/>
      </w:pPr>
      <w:r>
        <w:t>post-article reaction SOP</w:t>
      </w:r>
    </w:p>
    <w:p>
      <w:pPr>
        <w:pStyle w:val="ListBullet"/>
      </w:pPr>
      <w:r>
        <w:t>single-article one-shot prompt</w:t>
      </w:r>
    </w:p>
    <w:p>
      <w:pPr>
        <w:pStyle w:val="ListBullet"/>
      </w:pPr>
      <w:r>
        <w:t>multi-article one-shot prompt</w:t>
      </w:r>
    </w:p>
    <w:p>
      <w:pPr>
        <w:pStyle w:val="ListBullet"/>
      </w:pPr>
      <w:r>
        <w:t>quick intraday filter prompt</w:t>
      </w:r>
    </w:p>
    <w:p>
      <w:pPr>
        <w:pStyle w:val="ListBullet"/>
      </w:pPr>
      <w:r>
        <w:t>domain appendix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