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7777777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A36B8F" w:rsidRDefault="69075BA9" w:rsidP="672C9EC8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A36B8F">
        <w:rPr>
          <w:rFonts w:ascii="Bell MT" w:hAnsi="Bell MT"/>
          <w:sz w:val="24"/>
          <w:szCs w:val="24"/>
          <w:lang w:val="de-DE"/>
        </w:rPr>
        <w:t xml:space="preserve">Web: </w:t>
      </w:r>
      <w:r w:rsidR="1A79EB9D" w:rsidRPr="00A36B8F">
        <w:rPr>
          <w:rFonts w:ascii="Bell MT" w:hAnsi="Bell MT"/>
          <w:sz w:val="24"/>
          <w:szCs w:val="24"/>
          <w:lang w:val="de-DE"/>
        </w:rPr>
        <w:t>richrau.github.io</w:t>
      </w:r>
    </w:p>
    <w:p w14:paraId="515B40BB" w14:textId="77777777" w:rsidR="0067334F" w:rsidRPr="00A36B8F" w:rsidRDefault="0067334F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</w:p>
    <w:p w14:paraId="34CF2E4F" w14:textId="77777777" w:rsidR="0067334F" w:rsidRPr="00A36B8F" w:rsidRDefault="0067334F" w:rsidP="00C8374D">
      <w:pPr>
        <w:jc w:val="both"/>
        <w:rPr>
          <w:rFonts w:ascii="Bell MT" w:hAnsi="Bell MT"/>
          <w:sz w:val="24"/>
          <w:szCs w:val="24"/>
          <w:lang w:val="de-DE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5685D6E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5F1B5296" w:rsidRPr="21C5E408">
        <w:rPr>
          <w:rFonts w:ascii="Bell MT" w:hAnsi="Bell MT"/>
          <w:sz w:val="24"/>
          <w:szCs w:val="24"/>
        </w:rPr>
        <w:t>334,958€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2206E441" w14:textId="77777777" w:rsidR="00DC5233" w:rsidRDefault="00DC5233" w:rsidP="00DC523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2023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0EBF3B4F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Fanz Neyer and Prof. Dr. Janina Bühler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lastRenderedPageBreak/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027A4E1B" w14:textId="77777777" w:rsidR="00E06A06" w:rsidRDefault="00E06A06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6BD2CA77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63A92B4" w14:textId="052A1F51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3289FDF2" w14:textId="69A9B334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DC5233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00DC5233">
        <w:rPr>
          <w:rFonts w:ascii="Bell MT" w:hAnsi="Bell MT"/>
          <w:sz w:val="24"/>
          <w:szCs w:val="24"/>
          <w:lang w:val="de-DE"/>
        </w:rPr>
        <w:t>Deutschlandfunk Nova</w:t>
      </w:r>
    </w:p>
    <w:p w14:paraId="38D5A8A8" w14:textId="77777777" w:rsidR="00557602" w:rsidRPr="00DC5233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00DC5233">
        <w:rPr>
          <w:rFonts w:ascii="Bell MT" w:hAnsi="Bell MT"/>
          <w:sz w:val="24"/>
          <w:szCs w:val="24"/>
          <w:lang w:val="de-DE"/>
        </w:rPr>
        <w:tab/>
      </w:r>
    </w:p>
    <w:p w14:paraId="77B3FEFB" w14:textId="77777777" w:rsidR="00800070" w:rsidRPr="00DC5233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DC5233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PUBLICATIONS</w:t>
      </w:r>
    </w:p>
    <w:p w14:paraId="2324828F" w14:textId="7B0B09A3" w:rsidR="00293863" w:rsidRPr="00DC5233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  <w:lang w:val="de-DE"/>
        </w:rPr>
      </w:pPr>
      <w:r w:rsidRPr="00DC5233">
        <w:rPr>
          <w:rFonts w:ascii="Bell MT" w:hAnsi="Bell MT"/>
          <w:b/>
          <w:sz w:val="24"/>
          <w:szCs w:val="24"/>
          <w:lang w:val="de-DE"/>
        </w:rPr>
        <w:t>Wor</w:t>
      </w:r>
      <w:r w:rsidR="00DC5233">
        <w:rPr>
          <w:rFonts w:ascii="Bell MT" w:hAnsi="Bell MT"/>
          <w:b/>
          <w:sz w:val="24"/>
          <w:szCs w:val="24"/>
          <w:lang w:val="de-DE"/>
        </w:rPr>
        <w:t>king papers</w:t>
      </w:r>
      <w:r w:rsidRPr="00DC5233">
        <w:rPr>
          <w:rFonts w:ascii="Bell MT" w:hAnsi="Bell MT"/>
          <w:b/>
          <w:sz w:val="24"/>
          <w:szCs w:val="24"/>
          <w:lang w:val="de-DE"/>
        </w:rPr>
        <w:t>:</w:t>
      </w:r>
    </w:p>
    <w:p w14:paraId="068E2840" w14:textId="5C7FF2A5" w:rsidR="004301E0" w:rsidRP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DC5233">
        <w:rPr>
          <w:rFonts w:ascii="Bell MT" w:eastAsia="Bell MT" w:hAnsi="Bell MT" w:cs="Bell MT"/>
          <w:color w:val="auto"/>
          <w:lang w:val="de-DE"/>
        </w:rPr>
        <w:t xml:space="preserve">Schäpermeier, M., Thielmann, I., &amp; </w:t>
      </w:r>
      <w:r w:rsidRPr="00DC5233">
        <w:rPr>
          <w:rFonts w:ascii="Bell MT" w:eastAsia="Bell MT" w:hAnsi="Bell MT" w:cs="Bell MT"/>
          <w:b/>
          <w:bCs/>
          <w:color w:val="auto"/>
          <w:lang w:val="de-DE"/>
        </w:rPr>
        <w:t xml:space="preserve">Rau, R. </w:t>
      </w:r>
      <w:r w:rsidRPr="00DC5233">
        <w:rPr>
          <w:rFonts w:ascii="Bell MT" w:eastAsia="Bell MT" w:hAnsi="Bell MT" w:cs="Bell MT"/>
          <w:color w:val="auto"/>
          <w:lang w:val="de-DE"/>
        </w:rPr>
        <w:t xml:space="preserve">(2024).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Do Generalized Expectations Explain Prosocial Behavior in Economic Games? A Replication and Extension of Rau et al. (2020). </w:t>
      </w:r>
      <w:r w:rsidRPr="004D2BD2">
        <w:rPr>
          <w:rFonts w:ascii="Bell MT" w:eastAsia="Bell MT" w:hAnsi="Bell MT" w:cs="Bell MT"/>
          <w:color w:val="auto"/>
        </w:rPr>
        <w:t xml:space="preserve">Manuscript </w:t>
      </w:r>
      <w:r>
        <w:rPr>
          <w:rFonts w:ascii="Bell MT" w:eastAsia="Bell MT" w:hAnsi="Bell MT" w:cs="Bell MT"/>
          <w:color w:val="auto"/>
        </w:rPr>
        <w:t>under r</w:t>
      </w:r>
      <w:r w:rsidRPr="004D2BD2">
        <w:rPr>
          <w:rFonts w:ascii="Bell MT" w:eastAsia="Bell MT" w:hAnsi="Bell MT" w:cs="Bell MT"/>
          <w:color w:val="auto"/>
        </w:rPr>
        <w:t xml:space="preserve">evision (minor) </w:t>
      </w:r>
      <w:r>
        <w:rPr>
          <w:rFonts w:ascii="Bell MT" w:eastAsia="Bell MT" w:hAnsi="Bell MT" w:cs="Bell MT"/>
          <w:color w:val="auto"/>
        </w:rPr>
        <w:t>at</w:t>
      </w:r>
      <w:r w:rsidRPr="004D2BD2">
        <w:rPr>
          <w:rFonts w:ascii="Bell MT" w:eastAsia="Bell MT" w:hAnsi="Bell MT" w:cs="Bell MT"/>
          <w:color w:val="auto"/>
        </w:rPr>
        <w:t xml:space="preserve"> Collabra: Psychology.</w:t>
      </w:r>
      <w:r w:rsidRPr="004301E0">
        <w:rPr>
          <w:rFonts w:ascii="Bell MT" w:eastAsia="Bell MT" w:hAnsi="Bell MT" w:cs="Bell MT"/>
          <w:color w:val="auto"/>
        </w:rPr>
        <w:t xml:space="preserve"> </w:t>
      </w:r>
    </w:p>
    <w:p w14:paraId="16AAE1B7" w14:textId="4F73B782" w:rsidR="004301E0" w:rsidRPr="00DC523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DC5233">
        <w:rPr>
          <w:rFonts w:ascii="Bell MT" w:eastAsia="Bell MT" w:hAnsi="Bell MT" w:cs="Bell MT"/>
          <w:b/>
          <w:bCs/>
          <w:color w:val="auto"/>
        </w:rPr>
        <w:t>Rau, R.,</w:t>
      </w:r>
      <w:r w:rsidRPr="00DC5233">
        <w:rPr>
          <w:rFonts w:ascii="Bell MT" w:eastAsia="Bell MT" w:hAnsi="Bell MT" w:cs="Bell MT"/>
          <w:color w:val="auto"/>
        </w:rPr>
        <w:t xml:space="preserve"> Grosz, M., &amp; Back, M. D. (2023).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A large-scale, gamified online-assessment of first impressions: The Who Knows project. </w:t>
      </w:r>
      <w:r w:rsidRPr="00DC5233">
        <w:rPr>
          <w:rFonts w:ascii="Bell MT" w:eastAsia="Bell MT" w:hAnsi="Bell MT" w:cs="Bell MT"/>
          <w:color w:val="auto"/>
        </w:rPr>
        <w:t>Manuscript under review at Behavior Research Methods. Preprint: https://osf.io/preprints/psyarxiv/gb4av</w:t>
      </w:r>
    </w:p>
    <w:p w14:paraId="34A1E161" w14:textId="015F52B5" w:rsidR="004301E0" w:rsidRP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50705D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413434">
        <w:rPr>
          <w:rFonts w:ascii="Bell MT" w:eastAsia="Bell MT" w:hAnsi="Bell MT" w:cs="Bell MT"/>
          <w:color w:val="auto"/>
          <w:lang w:val="de-DE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</w:t>
      </w:r>
      <w:r w:rsidR="00B5512A" w:rsidRPr="00DC5233">
        <w:rPr>
          <w:rFonts w:ascii="Bell MT" w:eastAsia="Bell MT" w:hAnsi="Bell MT" w:cs="Bell MT"/>
          <w:color w:val="auto"/>
        </w:rPr>
        <w:t>c</w:t>
      </w:r>
      <w:r w:rsidRPr="00DC5233">
        <w:rPr>
          <w:rFonts w:ascii="Bell MT" w:eastAsia="Bell MT" w:hAnsi="Bell MT" w:cs="Bell MT"/>
          <w:color w:val="auto"/>
        </w:rPr>
        <w:t xml:space="preserve">ript </w:t>
      </w:r>
      <w:r w:rsidR="00B5512A" w:rsidRPr="00DC5233">
        <w:rPr>
          <w:rFonts w:ascii="Bell MT" w:eastAsia="Bell MT" w:hAnsi="Bell MT" w:cs="Bell MT"/>
          <w:color w:val="auto"/>
        </w:rPr>
        <w:t>invited for resubmission at</w:t>
      </w:r>
      <w:r w:rsidRPr="00DC5233">
        <w:rPr>
          <w:rFonts w:ascii="Bell MT" w:eastAsia="Bell MT" w:hAnsi="Bell MT" w:cs="Bell MT"/>
          <w:color w:val="auto"/>
        </w:rPr>
        <w:t xml:space="preserve"> Personality Science. </w:t>
      </w:r>
      <w:r w:rsidRPr="004301E0">
        <w:rPr>
          <w:rFonts w:ascii="Bell MT" w:eastAsia="Bell MT" w:hAnsi="Bell MT" w:cs="Bell MT"/>
          <w:color w:val="auto"/>
        </w:rPr>
        <w:t>Preprint: https://osf.io/preprints/psyarxiv/na9t8</w:t>
      </w:r>
      <w:r w:rsidRPr="004301E0">
        <w:rPr>
          <w:rFonts w:ascii="Bell MT" w:eastAsia="Bell MT" w:hAnsi="Bell MT" w:cs="Bell MT"/>
          <w:color w:val="auto"/>
        </w:rPr>
        <w:tab/>
      </w:r>
    </w:p>
    <w:p w14:paraId="41500D0C" w14:textId="3E20623C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4301E0">
        <w:rPr>
          <w:rFonts w:ascii="Bell MT" w:eastAsia="Bell MT" w:hAnsi="Bell MT" w:cs="Bell MT"/>
          <w:color w:val="auto"/>
        </w:rPr>
        <w:lastRenderedPageBreak/>
        <w:t xml:space="preserve">Dufner, M., Grapsas, E., </w:t>
      </w:r>
      <w:r w:rsidRPr="004301E0">
        <w:rPr>
          <w:rFonts w:ascii="Bell MT" w:eastAsia="Bell MT" w:hAnsi="Bell MT" w:cs="Bell MT"/>
          <w:b/>
          <w:bCs/>
          <w:color w:val="auto"/>
        </w:rPr>
        <w:t>&amp; Rau, R.</w:t>
      </w:r>
      <w:r w:rsidRPr="004301E0">
        <w:rPr>
          <w:rFonts w:ascii="Bell MT" w:eastAsia="Bell MT" w:hAnsi="Bell MT" w:cs="Bell MT"/>
          <w:color w:val="auto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371151C9" w14:textId="004C22C1" w:rsidR="004301E0" w:rsidRPr="007014E7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i/>
          <w:iCs/>
          <w:color w:val="auto"/>
        </w:rPr>
      </w:pPr>
      <w:r w:rsidRPr="004301E0">
        <w:rPr>
          <w:rFonts w:ascii="Bell MT" w:eastAsia="Bell MT" w:hAnsi="Bell MT" w:cs="Bell MT"/>
          <w:color w:val="auto"/>
        </w:rPr>
        <w:t xml:space="preserve">Aissaoui, A., &amp; </w:t>
      </w:r>
      <w:r w:rsidRPr="00FF599C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4301E0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014E7">
        <w:rPr>
          <w:rFonts w:ascii="Bell MT" w:eastAsia="Bell MT" w:hAnsi="Bell MT" w:cs="Bell MT"/>
          <w:color w:val="auto"/>
        </w:rPr>
        <w:t xml:space="preserve">Remmers, C., Anoschin, A., Zimmermann, J., Grosz, P. M., Back, M. D., </w:t>
      </w:r>
      <w:r w:rsidRPr="007014E7">
        <w:rPr>
          <w:rFonts w:ascii="Bell MT" w:eastAsia="Bell MT" w:hAnsi="Bell MT" w:cs="Bell MT"/>
          <w:b/>
          <w:bCs/>
          <w:color w:val="auto"/>
        </w:rPr>
        <w:t>&amp; Rau, R.</w:t>
      </w:r>
      <w:r w:rsidRPr="007014E7">
        <w:rPr>
          <w:rFonts w:ascii="Bell MT" w:eastAsia="Bell MT" w:hAnsi="Bell MT" w:cs="Bell MT"/>
          <w:color w:val="auto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5799B1AA" w:rsidR="00993B57" w:rsidRDefault="007A4507" w:rsidP="00993B57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31ABCA2A" w14:textId="14D1006F" w:rsidR="00DC5233" w:rsidRPr="004301E0" w:rsidRDefault="00DC5233" w:rsidP="00DC523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C61512">
        <w:rPr>
          <w:rFonts w:ascii="Bell MT" w:eastAsia="Bell MT" w:hAnsi="Bell MT" w:cs="Bell MT"/>
          <w:color w:val="auto"/>
          <w:lang w:val="de-DE"/>
        </w:rPr>
        <w:t>K</w:t>
      </w:r>
      <w:r>
        <w:rPr>
          <w:rFonts w:ascii="Bell MT" w:eastAsia="Bell MT" w:hAnsi="Bell MT" w:cs="Bell MT"/>
          <w:color w:val="auto"/>
          <w:lang w:val="de-DE"/>
        </w:rPr>
        <w:t>ue</w:t>
      </w:r>
      <w:r w:rsidRPr="00C61512">
        <w:rPr>
          <w:rFonts w:ascii="Bell MT" w:eastAsia="Bell MT" w:hAnsi="Bell MT" w:cs="Bell MT"/>
          <w:color w:val="auto"/>
          <w:lang w:val="de-DE"/>
        </w:rPr>
        <w:t xml:space="preserve">ppers, S., </w:t>
      </w:r>
      <w:r w:rsidRPr="00C61512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C61512">
        <w:rPr>
          <w:rFonts w:ascii="Bell MT" w:eastAsia="Bell MT" w:hAnsi="Bell MT" w:cs="Bell MT"/>
          <w:color w:val="auto"/>
          <w:lang w:val="de-DE"/>
        </w:rPr>
        <w:t>&amp; Scharf, F. (</w:t>
      </w:r>
      <w:r>
        <w:rPr>
          <w:rFonts w:ascii="Bell MT" w:eastAsia="Bell MT" w:hAnsi="Bell MT" w:cs="Bell MT"/>
          <w:color w:val="auto"/>
          <w:lang w:val="de-DE"/>
        </w:rPr>
        <w:t>in press</w:t>
      </w:r>
      <w:r w:rsidRPr="00C61512">
        <w:rPr>
          <w:rFonts w:ascii="Bell MT" w:eastAsia="Bell MT" w:hAnsi="Bell MT" w:cs="Bell MT"/>
          <w:color w:val="auto"/>
          <w:lang w:val="de-DE"/>
        </w:rPr>
        <w:t xml:space="preserve">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21C5E408">
        <w:rPr>
          <w:rFonts w:ascii="Bell MT" w:hAnsi="Bell MT"/>
        </w:rPr>
        <w:t>Retrieved from</w:t>
      </w:r>
      <w:r>
        <w:rPr>
          <w:rFonts w:ascii="Bell MT" w:hAnsi="Bell MT"/>
        </w:rPr>
        <w:t xml:space="preserve"> </w:t>
      </w:r>
      <w:r w:rsidR="00291727" w:rsidRPr="00291727">
        <w:rPr>
          <w:rFonts w:ascii="Bell MT" w:hAnsi="Bell MT"/>
        </w:rPr>
        <w:t>https://osf.io/preprints/psyarxiv/m6atw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Utesch,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osf.io/preprints/psyarxiv/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A58C37B" w14:textId="6E91F733" w:rsidR="618C18FA" w:rsidRDefault="618C18FA" w:rsidP="21C5E408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(in press).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Personality.</w:t>
      </w:r>
      <w:r w:rsidRPr="21C5E408">
        <w:rPr>
          <w:rFonts w:ascii="Bell MT" w:hAnsi="Bell MT"/>
          <w:sz w:val="24"/>
          <w:szCs w:val="24"/>
        </w:rPr>
        <w:t xml:space="preserve"> Retrieved from osf.io/preprints/psyarxiv/ewpn9</w:t>
      </w:r>
      <w:bookmarkEnd w:id="0"/>
    </w:p>
    <w:p w14:paraId="2A17628A" w14:textId="5D0AE001" w:rsidR="00B0767D" w:rsidRDefault="00B0767D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Pringle, V., Carlson, E.,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 w:rsidR="00667A13">
        <w:rPr>
          <w:rFonts w:ascii="Bell MT" w:hAnsi="Bell MT"/>
          <w:sz w:val="24"/>
          <w:szCs w:val="24"/>
        </w:rPr>
        <w:t>2023</w:t>
      </w:r>
      <w:r w:rsidRPr="21C5E408">
        <w:rPr>
          <w:rFonts w:ascii="Bell MT" w:hAnsi="Bell MT"/>
          <w:sz w:val="24"/>
          <w:szCs w:val="24"/>
        </w:rPr>
        <w:t xml:space="preserve">). </w:t>
      </w:r>
      <w:r w:rsidR="009E68ED" w:rsidRPr="21C5E408">
        <w:rPr>
          <w:rFonts w:ascii="Bell MT" w:hAnsi="Bell MT"/>
          <w:sz w:val="24"/>
          <w:szCs w:val="24"/>
        </w:rPr>
        <w:t>Self-knowledge of perceiver effects: Do people know how positively they tend to view targets relative to other people?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50445F"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 w:rsidR="00667A13">
        <w:rPr>
          <w:rFonts w:ascii="Bell MT" w:hAnsi="Bell MT"/>
          <w:i/>
          <w:iCs/>
          <w:sz w:val="24"/>
          <w:szCs w:val="24"/>
        </w:rPr>
        <w:t xml:space="preserve">, 106, </w:t>
      </w:r>
      <w:r w:rsidR="00B83D8E"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047DB1" w:rsidRPr="21C5E408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05D80AB5" w:rsidR="00280808" w:rsidRPr="008E3115" w:rsidRDefault="00280808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21C5E408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21C5E408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21C5E408">
        <w:rPr>
          <w:rFonts w:ascii="Bell MT" w:hAnsi="Bell MT"/>
          <w:sz w:val="24"/>
          <w:szCs w:val="24"/>
          <w:lang w:val="de-DE"/>
        </w:rPr>
        <w:t>2023</w:t>
      </w:r>
      <w:r w:rsidRPr="21C5E408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93863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293863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39E68F0E" w14:textId="77777777" w:rsidR="00DC5233" w:rsidRDefault="00DC5233">
      <w:pPr>
        <w:rPr>
          <w:rFonts w:ascii="Bell MT" w:hAnsi="Bell MT" w:cs="Segoe UI"/>
          <w:b/>
          <w:bCs/>
          <w:sz w:val="24"/>
          <w:szCs w:val="24"/>
        </w:rPr>
      </w:pPr>
      <w:r>
        <w:rPr>
          <w:rFonts w:ascii="Bell MT" w:hAnsi="Bell MT" w:cs="Segoe UI"/>
          <w:b/>
          <w:bCs/>
          <w:sz w:val="24"/>
          <w:szCs w:val="24"/>
        </w:rPr>
        <w:br w:type="page"/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lastRenderedPageBreak/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25450959" w14:textId="2A65D645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peer perceptions over time: The role of personality and likability in predicting the development of </w:t>
      </w:r>
      <w:r w:rsidRPr="21C5E408">
        <w:rPr>
          <w:rFonts w:ascii="Bell MT" w:hAnsi="Bell MT"/>
          <w:i/>
          <w:iCs/>
          <w:sz w:val="24"/>
          <w:szCs w:val="24"/>
        </w:rPr>
        <w:lastRenderedPageBreak/>
        <w:t>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47816" w14:textId="77777777" w:rsidR="00C961CD" w:rsidRDefault="00C961CD" w:rsidP="00470A3B">
      <w:pPr>
        <w:spacing w:after="0" w:line="240" w:lineRule="auto"/>
      </w:pPr>
      <w:r>
        <w:separator/>
      </w:r>
    </w:p>
  </w:endnote>
  <w:endnote w:type="continuationSeparator" w:id="0">
    <w:p w14:paraId="4222AC84" w14:textId="77777777" w:rsidR="00C961CD" w:rsidRDefault="00C961CD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9EDB" w14:textId="77777777" w:rsidR="00C961CD" w:rsidRDefault="00C961CD" w:rsidP="00470A3B">
      <w:pPr>
        <w:spacing w:after="0" w:line="240" w:lineRule="auto"/>
      </w:pPr>
      <w:r>
        <w:separator/>
      </w:r>
    </w:p>
  </w:footnote>
  <w:footnote w:type="continuationSeparator" w:id="0">
    <w:p w14:paraId="13DCFA05" w14:textId="77777777" w:rsidR="00C961CD" w:rsidRDefault="00C961CD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F6EF2"/>
    <w:rsid w:val="00311459"/>
    <w:rsid w:val="003170D9"/>
    <w:rsid w:val="00340B52"/>
    <w:rsid w:val="00341613"/>
    <w:rsid w:val="00347A86"/>
    <w:rsid w:val="00347C58"/>
    <w:rsid w:val="00373AA4"/>
    <w:rsid w:val="0037423F"/>
    <w:rsid w:val="00383983"/>
    <w:rsid w:val="003A7F66"/>
    <w:rsid w:val="003C45EC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E0B5D"/>
    <w:rsid w:val="004F1DF3"/>
    <w:rsid w:val="004F47D8"/>
    <w:rsid w:val="004F78CB"/>
    <w:rsid w:val="005026CB"/>
    <w:rsid w:val="0050445F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257A1"/>
    <w:rsid w:val="00632C5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B0338"/>
    <w:rsid w:val="007B687B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379"/>
    <w:rsid w:val="008C00A9"/>
    <w:rsid w:val="008C6977"/>
    <w:rsid w:val="008E3115"/>
    <w:rsid w:val="0091177A"/>
    <w:rsid w:val="00920563"/>
    <w:rsid w:val="00944D0E"/>
    <w:rsid w:val="00987194"/>
    <w:rsid w:val="00993B57"/>
    <w:rsid w:val="00995270"/>
    <w:rsid w:val="009A4ED8"/>
    <w:rsid w:val="009B2079"/>
    <w:rsid w:val="009B7FF3"/>
    <w:rsid w:val="009C1C14"/>
    <w:rsid w:val="009C20C5"/>
    <w:rsid w:val="009E4A99"/>
    <w:rsid w:val="009E68ED"/>
    <w:rsid w:val="009F4BA7"/>
    <w:rsid w:val="00A00514"/>
    <w:rsid w:val="00A06F01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762F"/>
    <w:rsid w:val="00B5512A"/>
    <w:rsid w:val="00B64129"/>
    <w:rsid w:val="00B66E8A"/>
    <w:rsid w:val="00B75169"/>
    <w:rsid w:val="00B76A54"/>
    <w:rsid w:val="00B76D20"/>
    <w:rsid w:val="00B83D8E"/>
    <w:rsid w:val="00B91767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438D7"/>
    <w:rsid w:val="00D6632D"/>
    <w:rsid w:val="00D67D28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1DE9"/>
    <w:rsid w:val="00DD7433"/>
    <w:rsid w:val="00E06A06"/>
    <w:rsid w:val="00E4418A"/>
    <w:rsid w:val="00E51A05"/>
    <w:rsid w:val="00E610DB"/>
    <w:rsid w:val="00E73E9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4512D"/>
    <w:rsid w:val="00F623C6"/>
    <w:rsid w:val="00F721A7"/>
    <w:rsid w:val="00F95395"/>
    <w:rsid w:val="00FA736E"/>
    <w:rsid w:val="00FB4573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2258</Words>
  <Characters>14229</Characters>
  <Application>Microsoft Office Word</Application>
  <DocSecurity>0</DocSecurity>
  <Lines>118</Lines>
  <Paragraphs>32</Paragraphs>
  <ScaleCrop>false</ScaleCrop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169</cp:revision>
  <cp:lastPrinted>2024-01-08T11:48:00Z</cp:lastPrinted>
  <dcterms:created xsi:type="dcterms:W3CDTF">2016-12-26T10:30:00Z</dcterms:created>
  <dcterms:modified xsi:type="dcterms:W3CDTF">2024-03-14T11:04:00Z</dcterms:modified>
</cp:coreProperties>
</file>