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MX Paid Search — Daily State File</w:t>
      </w:r>
    </w:p>
    <w:p>
      <w:r>
        <w:t>&lt;!-- DOC-0401 | duck_id: state-file-mx-ps --&gt;</w:t>
      </w:r>
    </w:p>
    <w:p>
      <w:pPr>
        <w:pStyle w:val="Heading1"/>
      </w:pPr>
      <w:r>
        <w:t>Mexico Paid Search — State of the Business</w:t>
      </w:r>
    </w:p>
    <w:p>
      <w:r>
        <w:t>**Reporting period:** Week 15 (Apr 6–12, 2026) · **Market owner:** Richard Williams · **Primary stakeholder:** Lorena Alvarez Larrea (L5) · **Support:** Yun-Kang Chu (L6)</w:t>
      </w:r>
    </w:p>
    <w:p>
      <w:r>
        <w:t>**Data through:** MX W15 actuals; AU W15 actuals; WW W15 actuals.</w:t>
      </w:r>
    </w:p>
    <w:p>
      <w:r>
        <w:t>---</w:t>
      </w:r>
    </w:p>
    <w:p>
      <w:pPr>
        <w:pStyle w:val="Heading2"/>
      </w:pPr>
      <w:r>
        <w:t>Introduction</w:t>
      </w:r>
    </w:p>
    <w:p>
      <w:r>
        <w:t>This document provides the trailing-week operational state of the Amazon Business Mexico Paid Search program. MX is Richard Williams's hands-on market, managed through Google Ads on the NA MCC (683-476-0964) under the DSAP parent MCC (873-788-1095). The program operates under an ie%CCP constraint model where Brand registrations at $21 CPA generate surplus Customer Cost to Pay that funds Non-Brand acquisition at higher CPAs. AB Finance assumed MX funding responsibility in March 2026. Lorena Alvarez Larrea replaced Carlos Palmos as the primary MX PS stakeholder on March 17, 2026. Keyword-level registration data is unavailable until Q3 2026; all Non-Brand performance analysis is directional.</w:t>
      </w:r>
    </w:p>
    <w:p>
      <w:pPr>
        <w:pStyle w:val="Heading2"/>
      </w:pPr>
      <w:r>
        <w:t>Goals</w:t>
      </w:r>
    </w:p>
    <w:p>
      <w:pPr>
        <w:pStyle w:val="ListNumber"/>
      </w:pPr>
      <w:r>
        <w:t>Achieve a blended CPA at or below $66 for FY26 (OP2 target), while maximizing registration volume within the ie%CCP constraint.</w:t>
      </w:r>
    </w:p>
    <w:p>
      <w:pPr>
        <w:pStyle w:val="ListNumber"/>
      </w:pPr>
      <w:r>
        <w:t>Maintain ie%CCP at or above 100% from Q2 2026 onward (Q1 operated at 77–99% as Brand surplus built).</w:t>
      </w:r>
    </w:p>
    <w:p>
      <w:pPr>
        <w:pStyle w:val="ListNumber"/>
      </w:pPr>
      <w:r>
        <w:t>Deliver 11,178 total registrations for FY26 against the OP2 plan ($542K spend), with upside scenarios projecting 13,948–15,051 registrations at $745K–$959K spend.</w:t>
      </w:r>
    </w:p>
    <w:p>
      <w:pPr>
        <w:pStyle w:val="ListNumber"/>
      </w:pPr>
      <w:r>
        <w:t>Complete the Polaris Brand landing page migration for MX per Brandon's priority order (AU &gt; MX &gt; DE &gt; UK &gt; JP &gt; FR &gt; IT &gt; ES &gt; CA &gt; US-ES).</w:t>
      </w:r>
    </w:p>
    <w:p>
      <w:pPr>
        <w:pStyle w:val="ListNumber"/>
      </w:pPr>
      <w:r>
        <w:t>Resolve the automotive landing page ref tag overwrite issue that breaks paid search attribution.</w:t>
      </w:r>
    </w:p>
    <w:p>
      <w:pPr>
        <w:pStyle w:val="Heading2"/>
      </w:pPr>
      <w:r>
        <w:t>Tenets</w:t>
      </w:r>
    </w:p>
    <w:p>
      <w:pPr>
        <w:pStyle w:val="ListNumber"/>
      </w:pPr>
      <w:r>
        <w:t>**ie%CCP governs spend, not budget.** Non-Brand spend expands only when Brand CCP surplus permits. The constraint is mathematical, not discretionary.</w:t>
      </w:r>
    </w:p>
    <w:p>
      <w:pPr>
        <w:pStyle w:val="ListNumber"/>
      </w:pPr>
      <w:r>
        <w:t>**Efficiency over escalation.** When NB CPC rises, respond with bid strategy refinement and negative keyword routing — not budget increases.</w:t>
      </w:r>
    </w:p>
    <w:p>
      <w:pPr>
        <w:pStyle w:val="ListNumber"/>
      </w:pPr>
      <w:r>
        <w:t>**Evidence before scale.** No campaign structure change, keyword expansion, or landing page variant ships to full traffic without a measurement period.</w:t>
      </w:r>
    </w:p>
    <w:p>
      <w:pPr>
        <w:pStyle w:val="ListNumber"/>
      </w:pPr>
      <w:r>
        <w:t>**Stakeholder responsiveness builds trust.** Lorena is a new relationship. Timely, thorough responses to her requests compound into strategic partnership.</w:t>
      </w:r>
    </w:p>
    <w:p>
      <w:r>
        <w:t>---</w:t>
      </w:r>
    </w:p>
    <w:p>
      <w:pPr>
        <w:pStyle w:val="Heading2"/>
      </w:pPr>
      <w:r>
        <w:t>State of the Business</w:t>
      </w:r>
    </w:p>
    <w:p>
      <w:r>
        <w:t>MX drove 515 registrations in W15 (+69.4% WoW) on $25,444 spend (+31.0% WoW) at a blended CPA of $49.41 (-22.6% WoW). W15 is the post-Semana-Santa rebound week following W14's holiday suppression (W14: 304 regs at $63.87 CPA). Registrations are +52% above the 8-week trailing average of 339 and are the highest weekly output in the trailing 15 weeks. Brand delivered the entirety of the upside: Brand registrations rose from 180 to 373 (+107% WoW) while NB moved from 124 to 142 (+14.5% WoW). Brand CVR jumped to 8.08% (+40.5% WoW versus the 8-week average of 6.04%).</w:t>
      </w:r>
    </w:p>
    <w:p>
      <w:r>
        <w:t>April MTD (through W15) has captured 515 registrations and $25,444 spend against OP2 month targets of 791 regs and $35,085 — 65.1% regs pacing and 72.5% cost pacing at 19% of the month elapsed. MX is on track to deliver a third consecutive month at or above 160% of the OP2 registration target if W16–W17 register even modest output above the 8-week run rate.</w:t>
      </w:r>
    </w:p>
    <w:p>
      <w:r>
        <w:t>**Input metrics (controllable levers):**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Input Metric</w:t>
            </w:r>
          </w:p>
        </w:tc>
        <w:tc>
          <w:tcPr>
            <w:tcW w:type="dxa" w:w="2160"/>
          </w:tcPr>
          <w:p>
            <w:r>
              <w:t>W15 Value</w:t>
            </w:r>
          </w:p>
        </w:tc>
        <w:tc>
          <w:tcPr>
            <w:tcW w:type="dxa" w:w="2160"/>
          </w:tcPr>
          <w:p>
            <w:r>
              <w:t>WoW Δ</w:t>
            </w:r>
          </w:p>
        </w:tc>
        <w:tc>
          <w:tcPr>
            <w:tcW w:type="dxa" w:w="2160"/>
          </w:tcPr>
          <w:p>
            <w:r>
              <w:t>Trend</w:t>
            </w:r>
          </w:p>
        </w:tc>
      </w:tr>
      <w:tr>
        <w:tc>
          <w:tcPr>
            <w:tcW w:type="dxa" w:w="2160"/>
          </w:tcPr>
          <w:p>
            <w:r>
              <w:t>Total spend</w:t>
            </w:r>
          </w:p>
        </w:tc>
        <w:tc>
          <w:tcPr>
            <w:tcW w:type="dxa" w:w="2160"/>
          </w:tcPr>
          <w:p>
            <w:r>
              <w:t>$25,444</w:t>
            </w:r>
          </w:p>
        </w:tc>
        <w:tc>
          <w:tcPr>
            <w:tcW w:type="dxa" w:w="2160"/>
          </w:tcPr>
          <w:p>
            <w:r>
              <w:t>+31.0%</w:t>
            </w:r>
          </w:p>
        </w:tc>
        <w:tc>
          <w:tcPr>
            <w:tcW w:type="dxa" w:w="2160"/>
          </w:tcPr>
          <w:p>
            <w:r>
              <w:t>Dataset-high spend week</w:t>
            </w:r>
          </w:p>
        </w:tc>
      </w:tr>
      <w:tr>
        <w:tc>
          <w:tcPr>
            <w:tcW w:type="dxa" w:w="2160"/>
          </w:tcPr>
          <w:p>
            <w:r>
              <w:t>Brand spend</w:t>
            </w:r>
          </w:p>
        </w:tc>
        <w:tc>
          <w:tcPr>
            <w:tcW w:type="dxa" w:w="2160"/>
          </w:tcPr>
          <w:p>
            <w:r>
              <w:t>$5,282</w:t>
            </w:r>
          </w:p>
        </w:tc>
        <w:tc>
          <w:tcPr>
            <w:tcW w:type="dxa" w:w="2160"/>
          </w:tcPr>
          <w:p>
            <w:r>
              <w:t>+59.1%</w:t>
            </w:r>
          </w:p>
        </w:tc>
        <w:tc>
          <w:tcPr>
            <w:tcW w:type="dxa" w:w="2160"/>
          </w:tcPr>
          <w:p>
            <w:r>
              <w:t>Largest Brand spend week in trailing 8</w:t>
            </w:r>
          </w:p>
        </w:tc>
      </w:tr>
      <w:tr>
        <w:tc>
          <w:tcPr>
            <w:tcW w:type="dxa" w:w="2160"/>
          </w:tcPr>
          <w:p>
            <w:r>
              <w:t>NB spend</w:t>
            </w:r>
          </w:p>
        </w:tc>
        <w:tc>
          <w:tcPr>
            <w:tcW w:type="dxa" w:w="2160"/>
          </w:tcPr>
          <w:p>
            <w:r>
              <w:t>$20,163</w:t>
            </w:r>
          </w:p>
        </w:tc>
        <w:tc>
          <w:tcPr>
            <w:tcW w:type="dxa" w:w="2160"/>
          </w:tcPr>
          <w:p>
            <w:r>
              <w:t>+25.3%</w:t>
            </w:r>
          </w:p>
        </w:tc>
        <w:tc>
          <w:tcPr>
            <w:tcW w:type="dxa" w:w="2160"/>
          </w:tcPr>
          <w:p>
            <w:r>
              <w:t>Elevated from W14 baseline</w:t>
            </w:r>
          </w:p>
        </w:tc>
      </w:tr>
      <w:tr>
        <w:tc>
          <w:tcPr>
            <w:tcW w:type="dxa" w:w="2160"/>
          </w:tcPr>
          <w:p>
            <w:r>
              <w:t>NB CPC</w:t>
            </w:r>
          </w:p>
        </w:tc>
        <w:tc>
          <w:tcPr>
            <w:tcW w:type="dxa" w:w="2160"/>
          </w:tcPr>
          <w:p>
            <w:r>
              <w:t>$1.88</w:t>
            </w:r>
          </w:p>
        </w:tc>
        <w:tc>
          <w:tcPr>
            <w:tcW w:type="dxa" w:w="2160"/>
          </w:tcPr>
          <w:p>
            <w:r>
              <w:t>+9.3%</w:t>
            </w:r>
          </w:p>
        </w:tc>
        <w:tc>
          <w:tcPr>
            <w:tcW w:type="dxa" w:w="2160"/>
          </w:tcPr>
          <w:p>
            <w:r>
              <w:t>Above 8-week avg of $1.80; reverses W14 decline</w:t>
            </w:r>
          </w:p>
        </w:tc>
      </w:tr>
      <w:tr>
        <w:tc>
          <w:tcPr>
            <w:tcW w:type="dxa" w:w="2160"/>
          </w:tcPr>
          <w:p>
            <w:r>
              <w:t>Negative keyword routing</w:t>
            </w:r>
          </w:p>
        </w:tc>
        <w:tc>
          <w:tcPr>
            <w:tcW w:type="dxa" w:w="2160"/>
          </w:tcPr>
          <w:p>
            <w:r>
              <w:t>Live (W11+)</w:t>
            </w:r>
          </w:p>
        </w:tc>
        <w:tc>
          <w:tcPr>
            <w:tcW w:type="dxa" w:w="2160"/>
          </w:tcPr>
          <w:p>
            <w:r>
              <w:t>—</w:t>
            </w:r>
          </w:p>
        </w:tc>
        <w:tc>
          <w:tcPr>
            <w:tcW w:type="dxa" w:w="2160"/>
          </w:tcPr>
          <w:p>
            <w:r>
              <w:t>Post-restructuring baseline holding</w:t>
            </w:r>
          </w:p>
        </w:tc>
      </w:tr>
    </w:tbl>
    <w:p>
      <w:r>
        <w:t>**Output metrics (lagging results):**</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Output Metric</w:t>
            </w:r>
          </w:p>
        </w:tc>
        <w:tc>
          <w:tcPr>
            <w:tcW w:type="dxa" w:w="2160"/>
          </w:tcPr>
          <w:p>
            <w:r>
              <w:t>W15 Value</w:t>
            </w:r>
          </w:p>
        </w:tc>
        <w:tc>
          <w:tcPr>
            <w:tcW w:type="dxa" w:w="2160"/>
          </w:tcPr>
          <w:p>
            <w:r>
              <w:t>WoW Δ</w:t>
            </w:r>
          </w:p>
        </w:tc>
        <w:tc>
          <w:tcPr>
            <w:tcW w:type="dxa" w:w="2160"/>
          </w:tcPr>
          <w:p>
            <w:r>
              <w:t>YoY / Baseline</w:t>
            </w:r>
          </w:p>
        </w:tc>
      </w:tr>
      <w:tr>
        <w:tc>
          <w:tcPr>
            <w:tcW w:type="dxa" w:w="2160"/>
          </w:tcPr>
          <w:p>
            <w:r>
              <w:t>Total registrations</w:t>
            </w:r>
          </w:p>
        </w:tc>
        <w:tc>
          <w:tcPr>
            <w:tcW w:type="dxa" w:w="2160"/>
          </w:tcPr>
          <w:p>
            <w:r>
              <w:t>515</w:t>
            </w:r>
          </w:p>
        </w:tc>
        <w:tc>
          <w:tcPr>
            <w:tcW w:type="dxa" w:w="2160"/>
          </w:tcPr>
          <w:p>
            <w:r>
              <w:t>+69.4%</w:t>
            </w:r>
          </w:p>
        </w:tc>
        <w:tc>
          <w:tcPr>
            <w:tcW w:type="dxa" w:w="2160"/>
          </w:tcPr>
          <w:p>
            <w:r>
              <w:t>Dataset high in trailing 15 weeks</w:t>
            </w:r>
          </w:p>
        </w:tc>
      </w:tr>
      <w:tr>
        <w:tc>
          <w:tcPr>
            <w:tcW w:type="dxa" w:w="2160"/>
          </w:tcPr>
          <w:p>
            <w:r>
              <w:t>Brand registrations</w:t>
            </w:r>
          </w:p>
        </w:tc>
        <w:tc>
          <w:tcPr>
            <w:tcW w:type="dxa" w:w="2160"/>
          </w:tcPr>
          <w:p>
            <w:r>
              <w:t>373</w:t>
            </w:r>
          </w:p>
        </w:tc>
        <w:tc>
          <w:tcPr>
            <w:tcW w:type="dxa" w:w="2160"/>
          </w:tcPr>
          <w:p>
            <w:r>
              <w:t>+107.2%</w:t>
            </w:r>
          </w:p>
        </w:tc>
        <w:tc>
          <w:tcPr>
            <w:tcW w:type="dxa" w:w="2160"/>
          </w:tcPr>
          <w:p>
            <w:r>
              <w:t>Brand CVR at 8.08% drove the surge</w:t>
            </w:r>
          </w:p>
        </w:tc>
      </w:tr>
      <w:tr>
        <w:tc>
          <w:tcPr>
            <w:tcW w:type="dxa" w:w="2160"/>
          </w:tcPr>
          <w:p>
            <w:r>
              <w:t>NB registrations</w:t>
            </w:r>
          </w:p>
        </w:tc>
        <w:tc>
          <w:tcPr>
            <w:tcW w:type="dxa" w:w="2160"/>
          </w:tcPr>
          <w:p>
            <w:r>
              <w:t>142</w:t>
            </w:r>
          </w:p>
        </w:tc>
        <w:tc>
          <w:tcPr>
            <w:tcW w:type="dxa" w:w="2160"/>
          </w:tcPr>
          <w:p>
            <w:r>
              <w:t>+14.5%</w:t>
            </w:r>
          </w:p>
        </w:tc>
        <w:tc>
          <w:tcPr>
            <w:tcW w:type="dxa" w:w="2160"/>
          </w:tcPr>
          <w:p>
            <w:r>
              <w:t>Within post-restructuring baseline</w:t>
            </w:r>
          </w:p>
        </w:tc>
      </w:tr>
      <w:tr>
        <w:tc>
          <w:tcPr>
            <w:tcW w:type="dxa" w:w="2160"/>
          </w:tcPr>
          <w:p>
            <w:r>
              <w:t>Blended CPA</w:t>
            </w:r>
          </w:p>
        </w:tc>
        <w:tc>
          <w:tcPr>
            <w:tcW w:type="dxa" w:w="2160"/>
          </w:tcPr>
          <w:p>
            <w:r>
              <w:t>$49.41</w:t>
            </w:r>
          </w:p>
        </w:tc>
        <w:tc>
          <w:tcPr>
            <w:tcW w:type="dxa" w:w="2160"/>
          </w:tcPr>
          <w:p>
            <w:r>
              <w:t>-22.6%</w:t>
            </w:r>
          </w:p>
        </w:tc>
        <w:tc>
          <w:tcPr>
            <w:tcW w:type="dxa" w:w="2160"/>
          </w:tcPr>
          <w:p>
            <w:r>
              <w:t>19% below 8-week avg of $61.30</w:t>
            </w:r>
          </w:p>
        </w:tc>
      </w:tr>
      <w:tr>
        <w:tc>
          <w:tcPr>
            <w:tcW w:type="dxa" w:w="2160"/>
          </w:tcPr>
          <w:p>
            <w:r>
              <w:t>Brand CPA</w:t>
            </w:r>
          </w:p>
        </w:tc>
        <w:tc>
          <w:tcPr>
            <w:tcW w:type="dxa" w:w="2160"/>
          </w:tcPr>
          <w:p>
            <w:r>
              <w:t>$14.16</w:t>
            </w:r>
          </w:p>
        </w:tc>
        <w:tc>
          <w:tcPr>
            <w:tcW w:type="dxa" w:w="2160"/>
          </w:tcPr>
          <w:p>
            <w:r>
              <w:t>-23.1%</w:t>
            </w:r>
          </w:p>
        </w:tc>
        <w:tc>
          <w:tcPr>
            <w:tcW w:type="dxa" w:w="2160"/>
          </w:tcPr>
          <w:p>
            <w:r>
              <w:t>Well below $19–$23 stability band</w:t>
            </w:r>
          </w:p>
        </w:tc>
      </w:tr>
      <w:tr>
        <w:tc>
          <w:tcPr>
            <w:tcW w:type="dxa" w:w="2160"/>
          </w:tcPr>
          <w:p>
            <w:r>
              <w:t>NB CPA</w:t>
            </w:r>
          </w:p>
        </w:tc>
        <w:tc>
          <w:tcPr>
            <w:tcW w:type="dxa" w:w="2160"/>
          </w:tcPr>
          <w:p>
            <w:r>
              <w:t>$141.99</w:t>
            </w:r>
          </w:p>
        </w:tc>
        <w:tc>
          <w:tcPr>
            <w:tcW w:type="dxa" w:w="2160"/>
          </w:tcPr>
          <w:p>
            <w:r>
              <w:t>+9.4%</w:t>
            </w:r>
          </w:p>
        </w:tc>
        <w:tc>
          <w:tcPr>
            <w:tcW w:type="dxa" w:w="2160"/>
          </w:tcPr>
          <w:p>
            <w:r>
              <w:t>Above 8-week avg of ~$134</w:t>
            </w:r>
          </w:p>
        </w:tc>
      </w:tr>
      <w:tr>
        <w:tc>
          <w:tcPr>
            <w:tcW w:type="dxa" w:w="2160"/>
          </w:tcPr>
          <w:p>
            <w:r>
              <w:t>Brand CVR</w:t>
            </w:r>
          </w:p>
        </w:tc>
        <w:tc>
          <w:tcPr>
            <w:tcW w:type="dxa" w:w="2160"/>
          </w:tcPr>
          <w:p>
            <w:r>
              <w:t>8.08%</w:t>
            </w:r>
          </w:p>
        </w:tc>
        <w:tc>
          <w:tcPr>
            <w:tcW w:type="dxa" w:w="2160"/>
          </w:tcPr>
          <w:p>
            <w:r>
              <w:t>+40.5%</w:t>
            </w:r>
          </w:p>
        </w:tc>
        <w:tc>
          <w:tcPr>
            <w:tcW w:type="dxa" w:w="2160"/>
          </w:tcPr>
          <w:p>
            <w:r>
              <w:t>34% above 8-week avg (6.04%)</w:t>
            </w:r>
          </w:p>
        </w:tc>
      </w:tr>
      <w:tr>
        <w:tc>
          <w:tcPr>
            <w:tcW w:type="dxa" w:w="2160"/>
          </w:tcPr>
          <w:p>
            <w:r>
              <w:t>NB CVR</w:t>
            </w:r>
          </w:p>
        </w:tc>
        <w:tc>
          <w:tcPr>
            <w:tcW w:type="dxa" w:w="2160"/>
          </w:tcPr>
          <w:p>
            <w:r>
              <w:t>1.32%</w:t>
            </w:r>
          </w:p>
        </w:tc>
        <w:tc>
          <w:tcPr>
            <w:tcW w:type="dxa" w:w="2160"/>
          </w:tcPr>
          <w:p>
            <w:r>
              <w:t>-0.8%</w:t>
            </w:r>
          </w:p>
        </w:tc>
        <w:tc>
          <w:tcPr>
            <w:tcW w:type="dxa" w:w="2160"/>
          </w:tcPr>
          <w:p>
            <w:r>
              <w:t>In post-restructuring range (1.3–1.5%)</w:t>
            </w:r>
          </w:p>
        </w:tc>
      </w:tr>
    </w:tbl>
    <w:p>
      <w:r>
        <w:t>**Seasonality context (per engine rule #5):** W15 (Apr 6–12) is the first post-Semana Santa recovery week. Semana Santa spanned March 29–April 5 (W14 reporting window), producing a -32.6% WoW suppression in MX W14. W15's +69.4% WoW is the recovery mirror of that suppression. The correct read is W14 + W15 combined: 304 + 515 = 819 registrations across the two-week window, averaging 409 per week — approximately 21% above the 8-week average of 339. This reflects genuine Q2 demand strength, amplified by the post-holiday rebound pattern consistent with April 2025.</w:t>
      </w:r>
    </w:p>
    <w:p>
      <w:r>
        <w:t>NB CVR at 1.32% remains within the post-restructuring baseline of 1.3%–1.5%, confirming the W11 negative keyword routing continues to hold. The W14 concern that NB CVR had fallen below baseline was holiday-driven; W15's clean read validates the restructuring. NB CPA rose to $141.99 (+9.4% WoW) because NB CPC rose to $1.88 while CVR held flat — a volume-over-efficiency week on the NB side.</w:t>
      </w:r>
    </w:p>
    <w:p>
      <w:r>
        <w:t>ie%CCP cannot be calculated for W15 because CCP values are null in the dashboard source. Using the Brand $90 / NB $30 model: total CCP surplus = 373 × $90 + 142 × $30 − (5,282 + 20,163) = $33,570 + $4,260 − $25,445 = +$12,385. Ratio is approximately 132%, above the 100% Q2 target and above W14's 126%.</w:t>
      </w:r>
    </w:p>
    <w:p>
      <w:r>
        <w:t>&lt;!-- WBR-OWNED:prediction-scoring START --&gt;</w:t>
      </w:r>
    </w:p>
    <w:p>
      <w:r>
        <w:t>&lt;!-- WBR-OWNED:prediction-scoring END --&gt;</w:t>
      </w:r>
    </w:p>
    <w:p>
      <w:r>
        <w:t>&lt;!-- WBR-OWNED:forecast START --&gt;</w:t>
      </w:r>
    </w:p>
    <w:p>
      <w:r>
        <w:t>&lt;!-- WBR-OWNED:forecast END --&gt;</w:t>
      </w:r>
    </w:p>
    <w:p>
      <w:pPr>
        <w:pStyle w:val="Heading2"/>
      </w:pPr>
      <w:r>
        <w:t>Flags</w:t>
      </w:r>
    </w:p>
    <w:p>
      <w:r>
        <w:t>&lt;!-- AM-OWNED:trailing-week-flags START --&gt;</w:t>
      </w:r>
    </w:p>
    <w:p>
      <w:r>
        <w:t>3 anomalies detected (&gt;20% deviation from 8-week average):</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W15 Value</w:t>
            </w:r>
          </w:p>
        </w:tc>
        <w:tc>
          <w:tcPr>
            <w:tcW w:type="dxa" w:w="1728"/>
          </w:tcPr>
          <w:p>
            <w:r>
              <w:t>8-Week Avg</w:t>
            </w:r>
          </w:p>
        </w:tc>
        <w:tc>
          <w:tcPr>
            <w:tcW w:type="dxa" w:w="1728"/>
          </w:tcPr>
          <w:p>
            <w:r>
              <w:t>Deviation</w:t>
            </w:r>
          </w:p>
        </w:tc>
        <w:tc>
          <w:tcPr>
            <w:tcW w:type="dxa" w:w="1728"/>
          </w:tcPr>
          <w:p>
            <w:r>
              <w:t>Implication</w:t>
            </w:r>
          </w:p>
        </w:tc>
      </w:tr>
      <w:tr>
        <w:tc>
          <w:tcPr>
            <w:tcW w:type="dxa" w:w="1728"/>
          </w:tcPr>
          <w:p>
            <w:r>
              <w:t>Registrations</w:t>
            </w:r>
          </w:p>
        </w:tc>
        <w:tc>
          <w:tcPr>
            <w:tcW w:type="dxa" w:w="1728"/>
          </w:tcPr>
          <w:p>
            <w:r>
              <w:t>515</w:t>
            </w:r>
          </w:p>
        </w:tc>
        <w:tc>
          <w:tcPr>
            <w:tcW w:type="dxa" w:w="1728"/>
          </w:tcPr>
          <w:p>
            <w:r>
              <w:t>339</w:t>
            </w:r>
          </w:p>
        </w:tc>
        <w:tc>
          <w:tcPr>
            <w:tcW w:type="dxa" w:w="1728"/>
          </w:tcPr>
          <w:p>
            <w:r>
              <w:t>+52%</w:t>
            </w:r>
          </w:p>
        </w:tc>
        <w:tc>
          <w:tcPr>
            <w:tcW w:type="dxa" w:w="1728"/>
          </w:tcPr>
          <w:p>
            <w:r>
              <w:t>Post-Semana-Santa rebound driving dataset high</w:t>
            </w:r>
          </w:p>
        </w:tc>
      </w:tr>
      <w:tr>
        <w:tc>
          <w:tcPr>
            <w:tcW w:type="dxa" w:w="1728"/>
          </w:tcPr>
          <w:p>
            <w:r>
              <w:t>Brand registrations</w:t>
            </w:r>
          </w:p>
        </w:tc>
        <w:tc>
          <w:tcPr>
            <w:tcW w:type="dxa" w:w="1728"/>
          </w:tcPr>
          <w:p>
            <w:r>
              <w:t>373</w:t>
            </w:r>
          </w:p>
        </w:tc>
        <w:tc>
          <w:tcPr>
            <w:tcW w:type="dxa" w:w="1728"/>
          </w:tcPr>
          <w:p>
            <w:r>
              <w:t>211</w:t>
            </w:r>
          </w:p>
        </w:tc>
        <w:tc>
          <w:tcPr>
            <w:tcW w:type="dxa" w:w="1728"/>
          </w:tcPr>
          <w:p>
            <w:r>
              <w:t>+77%</w:t>
            </w:r>
          </w:p>
        </w:tc>
        <w:tc>
          <w:tcPr>
            <w:tcW w:type="dxa" w:w="1728"/>
          </w:tcPr>
          <w:p>
            <w:r>
              <w:t>Brand CVR surge (8.08% vs 6.04% avg) is primary driver</w:t>
            </w:r>
          </w:p>
        </w:tc>
      </w:tr>
      <w:tr>
        <w:tc>
          <w:tcPr>
            <w:tcW w:type="dxa" w:w="1728"/>
          </w:tcPr>
          <w:p>
            <w:r>
              <w:t>Brand CVR</w:t>
            </w:r>
          </w:p>
        </w:tc>
        <w:tc>
          <w:tcPr>
            <w:tcW w:type="dxa" w:w="1728"/>
          </w:tcPr>
          <w:p>
            <w:r>
              <w:t>8.08%</w:t>
            </w:r>
          </w:p>
        </w:tc>
        <w:tc>
          <w:tcPr>
            <w:tcW w:type="dxa" w:w="1728"/>
          </w:tcPr>
          <w:p>
            <w:r>
              <w:t>6.04%</w:t>
            </w:r>
          </w:p>
        </w:tc>
        <w:tc>
          <w:tcPr>
            <w:tcW w:type="dxa" w:w="1728"/>
          </w:tcPr>
          <w:p>
            <w:r>
              <w:t>+34%</w:t>
            </w:r>
          </w:p>
        </w:tc>
        <w:tc>
          <w:tcPr>
            <w:tcW w:type="dxa" w:w="1728"/>
          </w:tcPr>
          <w:p>
            <w:r>
              <w:t>3-week high; not sustainable at this level</w:t>
            </w:r>
          </w:p>
        </w:tc>
      </w:tr>
    </w:tbl>
    <w:p>
      <w:r>
        <w:t>**Recommended action:** The W15 surge is favorable but the Brand CVR level of 8.08% is not sustainable as a baseline. If W16 Brand CVR retreats toward 6.0%–6.5% while W15's spend levels persist, Brand CPA will normalize back to the $19–$23 band and blended CPA will settle into the $55–$65 range. No operational change is warranted — the priority is to avoid over-extrapolating a rebound week into Q2 budget commitments.</w:t>
      </w:r>
    </w:p>
    <w:p>
      <w:r>
        <w:t>**Cost of inaction (null case):** The W14 NB CVR concern was resolved by the W15 clean read. The outstanding operational risks now concentrate on stakeholder-facing actions. Lorena's Q2 expected-spend request (for PO submission) is now 26 days overdue and the keyword data / strategy request is 32 days overdue. Each additional week of delay erodes the new-stakeholder trust dynamic flagged in Tenet 4. Separately, the duplicate Google MX invoice (first flagged by Diana De la Fuente on Apr 14, acknowledged Apr 17) is still unresolved pending Google's response; if unresolved by end of April, the $56K duplicate could block Q2 PO submission and force manual finance intervention. Finally, MX Auto landing page ref tag overwrite (Vijeth) continues to break paid search attribution on the automotive vertical, so automotive-specific reporting is still directional.</w:t>
      </w:r>
    </w:p>
    <w:p>
      <w:r>
        <w:t>&lt;!-- AM-OWNED:trailing-week-flags END --&gt;</w:t>
      </w:r>
    </w:p>
    <w:p>
      <w:r>
        <w:t>&lt;!-- WBR-OWNED:signal-flags START --&gt;</w:t>
      </w:r>
    </w:p>
    <w:p>
      <w:r>
        <w:t>&lt;!-- WBR-OWNED:signal-flags END --&gt;</w:t>
      </w:r>
    </w:p>
    <w:p>
      <w:r>
        <w:t>---</w:t>
      </w:r>
    </w:p>
    <w:p>
      <w:pPr>
        <w:pStyle w:val="Heading2"/>
      </w:pPr>
      <w:r>
        <w:t>Lessons Learned</w:t>
      </w:r>
    </w:p>
    <w:p>
      <w:r>
        <w:t>Three operational insights from the trailing three-week window (W13–W15) inform the immediate tactical posture:</w:t>
      </w:r>
    </w:p>
    <w:p>
      <w:pPr>
        <w:pStyle w:val="ListNumber"/>
      </w:pPr>
      <w:r>
        <w:t>**The W14 NB CVR dip to 1.08% was entirely holiday-driven; W15's 1.32% confirms the W11 negative keyword restructuring remains durable.** NB CVR over the last 5 weeks tracked 1.57% (W11) → 1.38% (W12) → 1.46% (W13) → 1.08% (W14 Semana Santa) → 1.32% (W15). Excluding W14, the NB CVR holds steadily within the post-restructuring baseline of 1.3%–1.5%, validating that the negative keyword work is structurally intact. No bid strategy or keyword changes are needed on the NB side based on W15 alone. If W16 NB CVR maintains the 1.3%+ range, the team can turn attention from NB defense to NB expansion.</w:t>
      </w:r>
    </w:p>
    <w:p>
      <w:pPr>
        <w:pStyle w:val="ListNumber"/>
      </w:pPr>
      <w:r>
        <w:t>**Brand CVR at 8.08% in W15 is a rebound-driven high, not a new baseline.** W15's Brand CVR is 34% above the 8-week trailing average and is the highest in the trailing 8 weeks. This is consistent with a post-holiday pent-up-demand pattern — Mexican B2B buyers who deferred registrations during Semana Santa completed the funnel in the first clean week. The correct planning assumption for W16–W17 is a reversion to the 6.0%–6.5% Brand CVR range, which would return Brand CPA to the $19–$23 stability band and blended CPA to $55–$65. Treating 8.08% as the new run rate would overstate Q2 forecasts by ~30%.</w:t>
      </w:r>
    </w:p>
    <w:p>
      <w:pPr>
        <w:pStyle w:val="ListNumber"/>
      </w:pPr>
      <w:r>
        <w:t>**ie%CCP at approximately 132% in W15 is above the 100% Q2 target but does not require operational action because Brand surplus drove the overshoot.** W14's 126% ie%CCP was an NB-CPA-compression signal (NB CPA $159 on weak CVR). W15's 132% is the inverse: Brand registrations at 373 generated $33,570 in CCP surplus against total spend of $25,445 — the program is now funding NB capacity, not consuming it. The NB CPA question persists (W15 NB CPA $141.99 is still well above the $30 NB CCP), but the April budget pressure from W14 has eased materially. The April NB reduction plan can be paused pending W16 data rather than executed immediately.</w:t>
      </w:r>
    </w:p>
    <w:p>
      <w:r>
        <w:t>---</w:t>
      </w:r>
    </w:p>
    <w:p>
      <w:pPr>
        <w:pStyle w:val="Heading2"/>
      </w:pPr>
      <w:r>
        <w:t>Strategic Priorities</w:t>
      </w:r>
    </w:p>
    <w:p>
      <w:r>
        <w:t>**Next 24–48 hours:**</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Priority</w:t>
            </w:r>
          </w:p>
        </w:tc>
        <w:tc>
          <w:tcPr>
            <w:tcW w:type="dxa" w:w="1728"/>
          </w:tcPr>
          <w:p>
            <w:r>
              <w:t>Action</w:t>
            </w:r>
          </w:p>
        </w:tc>
        <w:tc>
          <w:tcPr>
            <w:tcW w:type="dxa" w:w="1728"/>
          </w:tcPr>
          <w:p>
            <w:r>
              <w:t>Owner</w:t>
            </w:r>
          </w:p>
        </w:tc>
        <w:tc>
          <w:tcPr>
            <w:tcW w:type="dxa" w:w="1728"/>
          </w:tcPr>
          <w:p>
            <w:r>
              <w:t>Deadline</w:t>
            </w:r>
          </w:p>
        </w:tc>
        <w:tc>
          <w:tcPr>
            <w:tcW w:type="dxa" w:w="1728"/>
          </w:tcPr>
          <w:p>
            <w:r>
              <w:t>Goal Link</w:t>
            </w:r>
          </w:p>
        </w:tc>
      </w:tr>
      <w:tr>
        <w:tc>
          <w:tcPr>
            <w:tcW w:type="dxa" w:w="1728"/>
          </w:tcPr>
          <w:p>
            <w:r>
              <w:t>1</w:t>
            </w:r>
          </w:p>
        </w:tc>
        <w:tc>
          <w:tcPr>
            <w:tcW w:type="dxa" w:w="1728"/>
          </w:tcPr>
          <w:p>
            <w:r>
              <w:t>Send IECCP follow-up summary to Lorena (11 days overdue; content already drafted)</w:t>
            </w:r>
          </w:p>
        </w:tc>
        <w:tc>
          <w:tcPr>
            <w:tcW w:type="dxa" w:w="1728"/>
          </w:tcPr>
          <w:p>
            <w:r>
              <w:t>Richard</w:t>
            </w:r>
          </w:p>
        </w:tc>
        <w:tc>
          <w:tcPr>
            <w:tcW w:type="dxa" w:w="1728"/>
          </w:tcPr>
          <w:p>
            <w:r>
              <w:t>Apr 21</w:t>
            </w:r>
          </w:p>
        </w:tc>
        <w:tc>
          <w:tcPr>
            <w:tcW w:type="dxa" w:w="1728"/>
          </w:tcPr>
          <w:p>
            <w:r>
              <w:t>Goal 4, Tenet 4</w:t>
            </w:r>
          </w:p>
        </w:tc>
      </w:tr>
      <w:tr>
        <w:tc>
          <w:tcPr>
            <w:tcW w:type="dxa" w:w="1728"/>
          </w:tcPr>
          <w:p>
            <w:r>
              <w:t>2</w:t>
            </w:r>
          </w:p>
        </w:tc>
        <w:tc>
          <w:tcPr>
            <w:tcW w:type="dxa" w:w="1728"/>
          </w:tcPr>
          <w:p>
            <w:r>
              <w:t>Respond to Lorena's Q2 expected spend request for PO submission (now 26 days overdue from 3/25)</w:t>
            </w:r>
          </w:p>
        </w:tc>
        <w:tc>
          <w:tcPr>
            <w:tcW w:type="dxa" w:w="1728"/>
          </w:tcPr>
          <w:p>
            <w:r>
              <w:t>Richard</w:t>
            </w:r>
          </w:p>
        </w:tc>
        <w:tc>
          <w:tcPr>
            <w:tcW w:type="dxa" w:w="1728"/>
          </w:tcPr>
          <w:p>
            <w:r>
              <w:t>Apr 21</w:t>
            </w:r>
          </w:p>
        </w:tc>
        <w:tc>
          <w:tcPr>
            <w:tcW w:type="dxa" w:w="1728"/>
          </w:tcPr>
          <w:p>
            <w:r>
              <w:t>Goal 4</w:t>
            </w:r>
          </w:p>
        </w:tc>
      </w:tr>
      <w:tr>
        <w:tc>
          <w:tcPr>
            <w:tcW w:type="dxa" w:w="1728"/>
          </w:tcPr>
          <w:p>
            <w:r>
              <w:t>3</w:t>
            </w:r>
          </w:p>
        </w:tc>
        <w:tc>
          <w:tcPr>
            <w:tcW w:type="dxa" w:w="1728"/>
          </w:tcPr>
          <w:p>
            <w:r>
              <w:t>Follow up with Google on duplicate MX invoice $56K (Diana De la Fuente awaiting resolution; acknowledged 4/17)</w:t>
            </w:r>
          </w:p>
        </w:tc>
        <w:tc>
          <w:tcPr>
            <w:tcW w:type="dxa" w:w="1728"/>
          </w:tcPr>
          <w:p>
            <w:r>
              <w:t>Richard</w:t>
            </w:r>
          </w:p>
        </w:tc>
        <w:tc>
          <w:tcPr>
            <w:tcW w:type="dxa" w:w="1728"/>
          </w:tcPr>
          <w:p>
            <w:r>
              <w:t>Apr 22</w:t>
            </w:r>
          </w:p>
        </w:tc>
        <w:tc>
          <w:tcPr>
            <w:tcW w:type="dxa" w:w="1728"/>
          </w:tcPr>
          <w:p>
            <w:r>
              <w:t>Admin</w:t>
            </w:r>
          </w:p>
        </w:tc>
      </w:tr>
      <w:tr>
        <w:tc>
          <w:tcPr>
            <w:tcW w:type="dxa" w:w="1728"/>
          </w:tcPr>
          <w:p>
            <w:r>
              <w:t>4</w:t>
            </w:r>
          </w:p>
        </w:tc>
        <w:tc>
          <w:tcPr>
            <w:tcW w:type="dxa" w:w="1728"/>
          </w:tcPr>
          <w:p>
            <w:r>
              <w:t>MCS LP review with Lorena — follow up on global Polaris template finalization</w:t>
            </w:r>
          </w:p>
        </w:tc>
        <w:tc>
          <w:tcPr>
            <w:tcW w:type="dxa" w:w="1728"/>
          </w:tcPr>
          <w:p>
            <w:r>
              <w:t>Richard + Dwayne</w:t>
            </w:r>
          </w:p>
        </w:tc>
        <w:tc>
          <w:tcPr>
            <w:tcW w:type="dxa" w:w="1728"/>
          </w:tcPr>
          <w:p>
            <w:r>
              <w:t>Apr 22</w:t>
            </w:r>
          </w:p>
        </w:tc>
        <w:tc>
          <w:tcPr>
            <w:tcW w:type="dxa" w:w="1728"/>
          </w:tcPr>
          <w:p>
            <w:r>
              <w:t>Goal 4</w:t>
            </w:r>
          </w:p>
        </w:tc>
      </w:tr>
      <w:tr>
        <w:tc>
          <w:tcPr>
            <w:tcW w:type="dxa" w:w="1728"/>
          </w:tcPr>
          <w:p>
            <w:r>
              <w:t>5</w:t>
            </w:r>
          </w:p>
        </w:tc>
        <w:tc>
          <w:tcPr>
            <w:tcW w:type="dxa" w:w="1728"/>
          </w:tcPr>
          <w:p>
            <w:r>
              <w:t>Prepare MX Paid Search Sync agenda for Tue 4/21 1:00pm PT with Lorena</w:t>
            </w:r>
          </w:p>
        </w:tc>
        <w:tc>
          <w:tcPr>
            <w:tcW w:type="dxa" w:w="1728"/>
          </w:tcPr>
          <w:p>
            <w:r>
              <w:t>Richard</w:t>
            </w:r>
          </w:p>
        </w:tc>
        <w:tc>
          <w:tcPr>
            <w:tcW w:type="dxa" w:w="1728"/>
          </w:tcPr>
          <w:p>
            <w:r>
              <w:t>Apr 21</w:t>
            </w:r>
          </w:p>
        </w:tc>
        <w:tc>
          <w:tcPr>
            <w:tcW w:type="dxa" w:w="1728"/>
          </w:tcPr>
          <w:p>
            <w:r>
              <w:t>Tenet 4</w:t>
            </w:r>
          </w:p>
        </w:tc>
      </w:tr>
      <w:tr>
        <w:tc>
          <w:tcPr>
            <w:tcW w:type="dxa" w:w="1728"/>
          </w:tcPr>
          <w:p>
            <w:r>
              <w:t>6</w:t>
            </w:r>
          </w:p>
        </w:tc>
        <w:tc>
          <w:tcPr>
            <w:tcW w:type="dxa" w:w="1728"/>
          </w:tcPr>
          <w:p>
            <w:r>
              <w:t>Escalate MX Auto landing page ref tag overwrite to Vijeth (engineering)</w:t>
            </w:r>
          </w:p>
        </w:tc>
        <w:tc>
          <w:tcPr>
            <w:tcW w:type="dxa" w:w="1728"/>
          </w:tcPr>
          <w:p>
            <w:r>
              <w:t>Richard</w:t>
            </w:r>
          </w:p>
        </w:tc>
        <w:tc>
          <w:tcPr>
            <w:tcW w:type="dxa" w:w="1728"/>
          </w:tcPr>
          <w:p>
            <w:r>
              <w:t>Apr 22</w:t>
            </w:r>
          </w:p>
        </w:tc>
        <w:tc>
          <w:tcPr>
            <w:tcW w:type="dxa" w:w="1728"/>
          </w:tcPr>
          <w:p>
            <w:r>
              <w:t>Goal 5</w:t>
            </w:r>
          </w:p>
        </w:tc>
      </w:tr>
    </w:tbl>
    <w:p>
      <w:r>
        <w:t>**Blocked items:**</w:t>
      </w:r>
    </w:p>
    <w:p>
      <w:pPr>
        <w:pStyle w:val="ListBullet"/>
      </w:pPr>
      <w:r>
        <w:t>Kingpin Goals MX: blocked by Andes data availability. No action possible until Andes delivers.</w:t>
      </w:r>
    </w:p>
    <w:p>
      <w:pPr>
        <w:pStyle w:val="ListBullet"/>
      </w:pPr>
      <w:r>
        <w:t>MX Auto landing page ref tag overwrite: engineering escalation via Vijeth pending. Attribution is broken on the automotive LP.</w:t>
      </w:r>
    </w:p>
    <w:p>
      <w:pPr>
        <w:pStyle w:val="ListBullet"/>
      </w:pPr>
      <w:r>
        <w:t>Keyword-level registration data: unavailable until Q3 2026. All NB keyword analysis remains directional.</w:t>
      </w:r>
    </w:p>
    <w:p>
      <w:pPr>
        <w:pStyle w:val="ListBullet"/>
      </w:pPr>
      <w:r>
        <w:t>ABMA MX WBR error: Astha Pant flagged 4/19, awaiting GenBI analysis link from Kanmal. Monitor but do not escalate yet.</w:t>
      </w:r>
    </w:p>
    <w:p>
      <w:r>
        <w:t>**Stakeholder actions required:**</w:t>
      </w:r>
    </w:p>
    <w:p>
      <w:pPr>
        <w:pStyle w:val="ListBullet"/>
      </w:pPr>
      <w:r>
        <w:t>Lorena: Confirm Q2 keyword priorities, Beauty campaign budget allocation, and review Tuesday's finalized Polaris template direction.</w:t>
      </w:r>
    </w:p>
    <w:p>
      <w:pPr>
        <w:pStyle w:val="ListBullet"/>
      </w:pPr>
      <w:r>
        <w:t>Vijeth: Deliver footer fix for MX Auto page and ref tag overwrite resolution.</w:t>
      </w:r>
    </w:p>
    <w:p>
      <w:pPr>
        <w:pStyle w:val="ListBullet"/>
      </w:pPr>
      <w:r>
        <w:t>Diana De la Fuente: Awaiting Google resolution on $56K duplicate invoice; no Richard action beyond weekly status check.</w:t>
      </w:r>
    </w:p>
    <w:p>
      <w:pPr>
        <w:pStyle w:val="ListBullet"/>
      </w:pPr>
      <w:r>
        <w:t>Brandon: No immediate MX action required. April budget reduction plan on hold pending W16 clean read.</w:t>
      </w:r>
    </w:p>
    <w:p>
      <w:r>
        <w:t>---</w:t>
      </w:r>
    </w:p>
    <w:p>
      <w:pPr>
        <w:pStyle w:val="Heading2"/>
      </w:pPr>
      <w:r>
        <w:t>Appendix A: Weekly Trend (W8–W15)</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Week</w:t>
            </w:r>
          </w:p>
        </w:tc>
        <w:tc>
          <w:tcPr>
            <w:tcW w:type="dxa" w:w="960"/>
          </w:tcPr>
          <w:p>
            <w:r>
              <w:t>Regs</w:t>
            </w:r>
          </w:p>
        </w:tc>
        <w:tc>
          <w:tcPr>
            <w:tcW w:type="dxa" w:w="960"/>
          </w:tcPr>
          <w:p>
            <w:r>
              <w:t>Brand</w:t>
            </w:r>
          </w:p>
        </w:tc>
        <w:tc>
          <w:tcPr>
            <w:tcW w:type="dxa" w:w="960"/>
          </w:tcPr>
          <w:p>
            <w:r>
              <w:t>NB</w:t>
            </w:r>
          </w:p>
        </w:tc>
        <w:tc>
          <w:tcPr>
            <w:tcW w:type="dxa" w:w="960"/>
          </w:tcPr>
          <w:p>
            <w:r>
              <w:t>Spend</w:t>
            </w:r>
          </w:p>
        </w:tc>
        <w:tc>
          <w:tcPr>
            <w:tcW w:type="dxa" w:w="960"/>
          </w:tcPr>
          <w:p>
            <w:r>
              <w:t>CPA</w:t>
            </w:r>
          </w:p>
        </w:tc>
        <w:tc>
          <w:tcPr>
            <w:tcW w:type="dxa" w:w="960"/>
          </w:tcPr>
          <w:p>
            <w:r>
              <w:t>NB CPA</w:t>
            </w:r>
          </w:p>
        </w:tc>
        <w:tc>
          <w:tcPr>
            <w:tcW w:type="dxa" w:w="960"/>
          </w:tcPr>
          <w:p>
            <w:r>
              <w:t>NB CVR</w:t>
            </w:r>
          </w:p>
        </w:tc>
        <w:tc>
          <w:tcPr>
            <w:tcW w:type="dxa" w:w="960"/>
          </w:tcPr>
          <w:p>
            <w:r>
              <w:t>Brand CVR</w:t>
            </w:r>
          </w:p>
        </w:tc>
      </w:tr>
      <w:tr>
        <w:tc>
          <w:tcPr>
            <w:tcW w:type="dxa" w:w="960"/>
          </w:tcPr>
          <w:p>
            <w:r>
              <w:t>W8</w:t>
            </w:r>
          </w:p>
        </w:tc>
        <w:tc>
          <w:tcPr>
            <w:tcW w:type="dxa" w:w="960"/>
          </w:tcPr>
          <w:p>
            <w:r>
              <w:t>368</w:t>
            </w:r>
          </w:p>
        </w:tc>
        <w:tc>
          <w:tcPr>
            <w:tcW w:type="dxa" w:w="960"/>
          </w:tcPr>
          <w:p>
            <w:r>
              <w:t>270</w:t>
            </w:r>
          </w:p>
        </w:tc>
        <w:tc>
          <w:tcPr>
            <w:tcW w:type="dxa" w:w="960"/>
          </w:tcPr>
          <w:p>
            <w:r>
              <w:t>98</w:t>
            </w:r>
          </w:p>
        </w:tc>
        <w:tc>
          <w:tcPr>
            <w:tcW w:type="dxa" w:w="960"/>
          </w:tcPr>
          <w:p>
            <w:r>
              <w:t>$18,669</w:t>
            </w:r>
          </w:p>
        </w:tc>
        <w:tc>
          <w:tcPr>
            <w:tcW w:type="dxa" w:w="960"/>
          </w:tcPr>
          <w:p>
            <w:r>
              <w:t>$50.73</w:t>
            </w:r>
          </w:p>
        </w:tc>
        <w:tc>
          <w:tcPr>
            <w:tcW w:type="dxa" w:w="960"/>
          </w:tcPr>
          <w:p>
            <w:r>
              <w:t>$141.13</w:t>
            </w:r>
          </w:p>
        </w:tc>
        <w:tc>
          <w:tcPr>
            <w:tcW w:type="dxa" w:w="960"/>
          </w:tcPr>
          <w:p>
            <w:r>
              <w:t>1.19%</w:t>
            </w:r>
          </w:p>
        </w:tc>
        <w:tc>
          <w:tcPr>
            <w:tcW w:type="dxa" w:w="960"/>
          </w:tcPr>
          <w:p>
            <w:r>
              <w:t>7.02%</w:t>
            </w:r>
          </w:p>
        </w:tc>
      </w:tr>
      <w:tr>
        <w:tc>
          <w:tcPr>
            <w:tcW w:type="dxa" w:w="960"/>
          </w:tcPr>
          <w:p>
            <w:r>
              <w:t>W9</w:t>
            </w:r>
          </w:p>
        </w:tc>
        <w:tc>
          <w:tcPr>
            <w:tcW w:type="dxa" w:w="960"/>
          </w:tcPr>
          <w:p>
            <w:r>
              <w:t>262</w:t>
            </w:r>
          </w:p>
        </w:tc>
        <w:tc>
          <w:tcPr>
            <w:tcW w:type="dxa" w:w="960"/>
          </w:tcPr>
          <w:p>
            <w:r>
              <w:t>166</w:t>
            </w:r>
          </w:p>
        </w:tc>
        <w:tc>
          <w:tcPr>
            <w:tcW w:type="dxa" w:w="960"/>
          </w:tcPr>
          <w:p>
            <w:r>
              <w:t>96</w:t>
            </w:r>
          </w:p>
        </w:tc>
        <w:tc>
          <w:tcPr>
            <w:tcW w:type="dxa" w:w="960"/>
          </w:tcPr>
          <w:p>
            <w:r>
              <w:t>$19,733</w:t>
            </w:r>
          </w:p>
        </w:tc>
        <w:tc>
          <w:tcPr>
            <w:tcW w:type="dxa" w:w="960"/>
          </w:tcPr>
          <w:p>
            <w:r>
              <w:t>$75.32</w:t>
            </w:r>
          </w:p>
        </w:tc>
        <w:tc>
          <w:tcPr>
            <w:tcW w:type="dxa" w:w="960"/>
          </w:tcPr>
          <w:p>
            <w:r>
              <w:t>$161.11</w:t>
            </w:r>
          </w:p>
        </w:tc>
        <w:tc>
          <w:tcPr>
            <w:tcW w:type="dxa" w:w="960"/>
          </w:tcPr>
          <w:p>
            <w:r>
              <w:t>1.13%</w:t>
            </w:r>
          </w:p>
        </w:tc>
        <w:tc>
          <w:tcPr>
            <w:tcW w:type="dxa" w:w="960"/>
          </w:tcPr>
          <w:p>
            <w:r>
              <w:t>5.03%</w:t>
            </w:r>
          </w:p>
        </w:tc>
      </w:tr>
      <w:tr>
        <w:tc>
          <w:tcPr>
            <w:tcW w:type="dxa" w:w="960"/>
          </w:tcPr>
          <w:p>
            <w:r>
              <w:t>W10</w:t>
            </w:r>
          </w:p>
        </w:tc>
        <w:tc>
          <w:tcPr>
            <w:tcW w:type="dxa" w:w="960"/>
          </w:tcPr>
          <w:p>
            <w:r>
              <w:t>297</w:t>
            </w:r>
          </w:p>
        </w:tc>
        <w:tc>
          <w:tcPr>
            <w:tcW w:type="dxa" w:w="960"/>
          </w:tcPr>
          <w:p>
            <w:r>
              <w:t>199</w:t>
            </w:r>
          </w:p>
        </w:tc>
        <w:tc>
          <w:tcPr>
            <w:tcW w:type="dxa" w:w="960"/>
          </w:tcPr>
          <w:p>
            <w:r>
              <w:t>98</w:t>
            </w:r>
          </w:p>
        </w:tc>
        <w:tc>
          <w:tcPr>
            <w:tcW w:type="dxa" w:w="960"/>
          </w:tcPr>
          <w:p>
            <w:r>
              <w:t>$20,509</w:t>
            </w:r>
          </w:p>
        </w:tc>
        <w:tc>
          <w:tcPr>
            <w:tcW w:type="dxa" w:w="960"/>
          </w:tcPr>
          <w:p>
            <w:r>
              <w:t>$69.05</w:t>
            </w:r>
          </w:p>
        </w:tc>
        <w:tc>
          <w:tcPr>
            <w:tcW w:type="dxa" w:w="960"/>
          </w:tcPr>
          <w:p>
            <w:r>
              <w:t>$165.27</w:t>
            </w:r>
          </w:p>
        </w:tc>
        <w:tc>
          <w:tcPr>
            <w:tcW w:type="dxa" w:w="960"/>
          </w:tcPr>
          <w:p>
            <w:r>
              <w:t>1.11%</w:t>
            </w:r>
          </w:p>
        </w:tc>
        <w:tc>
          <w:tcPr>
            <w:tcW w:type="dxa" w:w="960"/>
          </w:tcPr>
          <w:p>
            <w:r>
              <w:t>5.36%</w:t>
            </w:r>
          </w:p>
        </w:tc>
      </w:tr>
      <w:tr>
        <w:tc>
          <w:tcPr>
            <w:tcW w:type="dxa" w:w="960"/>
          </w:tcPr>
          <w:p>
            <w:r>
              <w:t>W11</w:t>
            </w:r>
          </w:p>
        </w:tc>
        <w:tc>
          <w:tcPr>
            <w:tcW w:type="dxa" w:w="960"/>
          </w:tcPr>
          <w:p>
            <w:r>
              <w:t>390</w:t>
            </w:r>
          </w:p>
        </w:tc>
        <w:tc>
          <w:tcPr>
            <w:tcW w:type="dxa" w:w="960"/>
          </w:tcPr>
          <w:p>
            <w:r>
              <w:t>244</w:t>
            </w:r>
          </w:p>
        </w:tc>
        <w:tc>
          <w:tcPr>
            <w:tcW w:type="dxa" w:w="960"/>
          </w:tcPr>
          <w:p>
            <w:r>
              <w:t>146</w:t>
            </w:r>
          </w:p>
        </w:tc>
        <w:tc>
          <w:tcPr>
            <w:tcW w:type="dxa" w:w="960"/>
          </w:tcPr>
          <w:p>
            <w:r>
              <w:t>$22,462</w:t>
            </w:r>
          </w:p>
        </w:tc>
        <w:tc>
          <w:tcPr>
            <w:tcW w:type="dxa" w:w="960"/>
          </w:tcPr>
          <w:p>
            <w:r>
              <w:t>$57.59</w:t>
            </w:r>
          </w:p>
        </w:tc>
        <w:tc>
          <w:tcPr>
            <w:tcW w:type="dxa" w:w="960"/>
          </w:tcPr>
          <w:p>
            <w:r>
              <w:t>$121.61</w:t>
            </w:r>
          </w:p>
        </w:tc>
        <w:tc>
          <w:tcPr>
            <w:tcW w:type="dxa" w:w="960"/>
          </w:tcPr>
          <w:p>
            <w:r>
              <w:t>1.56%</w:t>
            </w:r>
          </w:p>
        </w:tc>
        <w:tc>
          <w:tcPr>
            <w:tcW w:type="dxa" w:w="960"/>
          </w:tcPr>
          <w:p>
            <w:r>
              <w:t>6.73%</w:t>
            </w:r>
          </w:p>
        </w:tc>
      </w:tr>
      <w:tr>
        <w:tc>
          <w:tcPr>
            <w:tcW w:type="dxa" w:w="960"/>
          </w:tcPr>
          <w:p>
            <w:r>
              <w:t>W12</w:t>
            </w:r>
          </w:p>
        </w:tc>
        <w:tc>
          <w:tcPr>
            <w:tcW w:type="dxa" w:w="960"/>
          </w:tcPr>
          <w:p>
            <w:r>
              <w:t>324</w:t>
            </w:r>
          </w:p>
        </w:tc>
        <w:tc>
          <w:tcPr>
            <w:tcW w:type="dxa" w:w="960"/>
          </w:tcPr>
          <w:p>
            <w:r>
              <w:t>203</w:t>
            </w:r>
          </w:p>
        </w:tc>
        <w:tc>
          <w:tcPr>
            <w:tcW w:type="dxa" w:w="960"/>
          </w:tcPr>
          <w:p>
            <w:r>
              <w:t>121</w:t>
            </w:r>
          </w:p>
        </w:tc>
        <w:tc>
          <w:tcPr>
            <w:tcW w:type="dxa" w:w="960"/>
          </w:tcPr>
          <w:p>
            <w:r>
              <w:t>$20,134</w:t>
            </w:r>
          </w:p>
        </w:tc>
        <w:tc>
          <w:tcPr>
            <w:tcW w:type="dxa" w:w="960"/>
          </w:tcPr>
          <w:p>
            <w:r>
              <w:t>$62.14</w:t>
            </w:r>
          </w:p>
        </w:tc>
        <w:tc>
          <w:tcPr>
            <w:tcW w:type="dxa" w:w="960"/>
          </w:tcPr>
          <w:p>
            <w:r>
              <w:t>$132.37</w:t>
            </w:r>
          </w:p>
        </w:tc>
        <w:tc>
          <w:tcPr>
            <w:tcW w:type="dxa" w:w="960"/>
          </w:tcPr>
          <w:p>
            <w:r>
              <w:t>1.37%</w:t>
            </w:r>
          </w:p>
        </w:tc>
        <w:tc>
          <w:tcPr>
            <w:tcW w:type="dxa" w:w="960"/>
          </w:tcPr>
          <w:p>
            <w:r>
              <w:t>6.00%</w:t>
            </w:r>
          </w:p>
        </w:tc>
      </w:tr>
      <w:tr>
        <w:tc>
          <w:tcPr>
            <w:tcW w:type="dxa" w:w="960"/>
          </w:tcPr>
          <w:p>
            <w:r>
              <w:t>W13</w:t>
            </w:r>
          </w:p>
        </w:tc>
        <w:tc>
          <w:tcPr>
            <w:tcW w:type="dxa" w:w="960"/>
          </w:tcPr>
          <w:p>
            <w:r>
              <w:t>350</w:t>
            </w:r>
          </w:p>
        </w:tc>
        <w:tc>
          <w:tcPr>
            <w:tcW w:type="dxa" w:w="960"/>
          </w:tcPr>
          <w:p>
            <w:r>
              <w:t>210</w:t>
            </w:r>
          </w:p>
        </w:tc>
        <w:tc>
          <w:tcPr>
            <w:tcW w:type="dxa" w:w="960"/>
          </w:tcPr>
          <w:p>
            <w:r>
              <w:t>140</w:t>
            </w:r>
          </w:p>
        </w:tc>
        <w:tc>
          <w:tcPr>
            <w:tcW w:type="dxa" w:w="960"/>
          </w:tcPr>
          <w:p>
            <w:r>
              <w:t>$23,220</w:t>
            </w:r>
          </w:p>
        </w:tc>
        <w:tc>
          <w:tcPr>
            <w:tcW w:type="dxa" w:w="960"/>
          </w:tcPr>
          <w:p>
            <w:r>
              <w:t>$66.34</w:t>
            </w:r>
          </w:p>
        </w:tc>
        <w:tc>
          <w:tcPr>
            <w:tcW w:type="dxa" w:w="960"/>
          </w:tcPr>
          <w:p>
            <w:r>
              <w:t>$134.16</w:t>
            </w:r>
          </w:p>
        </w:tc>
        <w:tc>
          <w:tcPr>
            <w:tcW w:type="dxa" w:w="960"/>
          </w:tcPr>
          <w:p>
            <w:r>
              <w:t>1.46%</w:t>
            </w:r>
          </w:p>
        </w:tc>
        <w:tc>
          <w:tcPr>
            <w:tcW w:type="dxa" w:w="960"/>
          </w:tcPr>
          <w:p>
            <w:r>
              <w:t>5.68%</w:t>
            </w:r>
          </w:p>
        </w:tc>
      </w:tr>
      <w:tr>
        <w:tc>
          <w:tcPr>
            <w:tcW w:type="dxa" w:w="960"/>
          </w:tcPr>
          <w:p>
            <w:r>
              <w:t>W14</w:t>
            </w:r>
          </w:p>
        </w:tc>
        <w:tc>
          <w:tcPr>
            <w:tcW w:type="dxa" w:w="960"/>
          </w:tcPr>
          <w:p>
            <w:r>
              <w:t>304</w:t>
            </w:r>
          </w:p>
        </w:tc>
        <w:tc>
          <w:tcPr>
            <w:tcW w:type="dxa" w:w="960"/>
          </w:tcPr>
          <w:p>
            <w:r>
              <w:t>180</w:t>
            </w:r>
          </w:p>
        </w:tc>
        <w:tc>
          <w:tcPr>
            <w:tcW w:type="dxa" w:w="960"/>
          </w:tcPr>
          <w:p>
            <w:r>
              <w:t>124</w:t>
            </w:r>
          </w:p>
        </w:tc>
        <w:tc>
          <w:tcPr>
            <w:tcW w:type="dxa" w:w="960"/>
          </w:tcPr>
          <w:p>
            <w:r>
              <w:t>$19,418</w:t>
            </w:r>
          </w:p>
        </w:tc>
        <w:tc>
          <w:tcPr>
            <w:tcW w:type="dxa" w:w="960"/>
          </w:tcPr>
          <w:p>
            <w:r>
              <w:t>$63.87</w:t>
            </w:r>
          </w:p>
        </w:tc>
        <w:tc>
          <w:tcPr>
            <w:tcW w:type="dxa" w:w="960"/>
          </w:tcPr>
          <w:p>
            <w:r>
              <w:t>$129.82</w:t>
            </w:r>
          </w:p>
        </w:tc>
        <w:tc>
          <w:tcPr>
            <w:tcW w:type="dxa" w:w="960"/>
          </w:tcPr>
          <w:p>
            <w:r>
              <w:t>1.33%</w:t>
            </w:r>
          </w:p>
        </w:tc>
        <w:tc>
          <w:tcPr>
            <w:tcW w:type="dxa" w:w="960"/>
          </w:tcPr>
          <w:p>
            <w:r>
              <w:t>5.75%</w:t>
            </w:r>
          </w:p>
        </w:tc>
      </w:tr>
      <w:tr>
        <w:tc>
          <w:tcPr>
            <w:tcW w:type="dxa" w:w="960"/>
          </w:tcPr>
          <w:p>
            <w:r>
              <w:t>W15</w:t>
            </w:r>
          </w:p>
        </w:tc>
        <w:tc>
          <w:tcPr>
            <w:tcW w:type="dxa" w:w="960"/>
          </w:tcPr>
          <w:p>
            <w:r>
              <w:t>515</w:t>
            </w:r>
          </w:p>
        </w:tc>
        <w:tc>
          <w:tcPr>
            <w:tcW w:type="dxa" w:w="960"/>
          </w:tcPr>
          <w:p>
            <w:r>
              <w:t>373</w:t>
            </w:r>
          </w:p>
        </w:tc>
        <w:tc>
          <w:tcPr>
            <w:tcW w:type="dxa" w:w="960"/>
          </w:tcPr>
          <w:p>
            <w:r>
              <w:t>142</w:t>
            </w:r>
          </w:p>
        </w:tc>
        <w:tc>
          <w:tcPr>
            <w:tcW w:type="dxa" w:w="960"/>
          </w:tcPr>
          <w:p>
            <w:r>
              <w:t>$25,444</w:t>
            </w:r>
          </w:p>
        </w:tc>
        <w:tc>
          <w:tcPr>
            <w:tcW w:type="dxa" w:w="960"/>
          </w:tcPr>
          <w:p>
            <w:r>
              <w:t>$49.41</w:t>
            </w:r>
          </w:p>
        </w:tc>
        <w:tc>
          <w:tcPr>
            <w:tcW w:type="dxa" w:w="960"/>
          </w:tcPr>
          <w:p>
            <w:r>
              <w:t>$141.99</w:t>
            </w:r>
          </w:p>
        </w:tc>
        <w:tc>
          <w:tcPr>
            <w:tcW w:type="dxa" w:w="960"/>
          </w:tcPr>
          <w:p>
            <w:r>
              <w:t>1.32%</w:t>
            </w:r>
          </w:p>
        </w:tc>
        <w:tc>
          <w:tcPr>
            <w:tcW w:type="dxa" w:w="960"/>
          </w:tcPr>
          <w:p>
            <w:r>
              <w:t>8.08%</w:t>
            </w:r>
          </w:p>
        </w:tc>
      </w:tr>
    </w:tbl>
    <w:p>
      <w:r>
        <w:t>**Trend commentary:** NB CVR has held the 1.3%+ range in 4 of the last 5 weeks, confirming the W11 restructuring. W15's Brand CVR at 8.08% is the dataset high and reflects Semana Santa rebound, not a structural baseline shift.</w:t>
      </w:r>
    </w:p>
    <w:p>
      <w:pPr>
        <w:pStyle w:val="Heading2"/>
      </w:pPr>
      <w:r>
        <w:t>Appendix B: YoY Comparison (W15)</w:t>
      </w:r>
    </w:p>
    <w:p>
      <w:r>
        <w:t>YoY benchmarks for W15 are not populated in the current forecast system. The W14 YoY comparison was unreliable because 2025 W14 did not fall on Semana Santa. W15 holiday offset is more comparable to 2025 W15, but the calendar alignment introduces noise; YoY will be included in W16 once the calibration set catches up.</w:t>
      </w:r>
    </w:p>
    <w:p>
      <w:pPr>
        <w:pStyle w:val="Heading2"/>
      </w:pPr>
      <w:r>
        <w:t>Appendix C: April 2026 Monthly Pacing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Metric</w:t>
            </w:r>
          </w:p>
        </w:tc>
        <w:tc>
          <w:tcPr>
            <w:tcW w:type="dxa" w:w="1728"/>
          </w:tcPr>
          <w:p>
            <w:r>
              <w:t>MTD (Apr 1–12)</w:t>
            </w:r>
          </w:p>
        </w:tc>
        <w:tc>
          <w:tcPr>
            <w:tcW w:type="dxa" w:w="1728"/>
          </w:tcPr>
          <w:p>
            <w:r>
              <w:t>OP2 Month Target</w:t>
            </w:r>
          </w:p>
        </w:tc>
        <w:tc>
          <w:tcPr>
            <w:tcW w:type="dxa" w:w="1728"/>
          </w:tcPr>
          <w:p>
            <w:r>
              <w:t>MTD Pacing</w:t>
            </w:r>
          </w:p>
        </w:tc>
        <w:tc>
          <w:tcPr>
            <w:tcW w:type="dxa" w:w="1728"/>
          </w:tcPr>
          <w:p>
            <w:r>
              <w:t>Time Elapsed</w:t>
            </w:r>
          </w:p>
        </w:tc>
      </w:tr>
      <w:tr>
        <w:tc>
          <w:tcPr>
            <w:tcW w:type="dxa" w:w="1728"/>
          </w:tcPr>
          <w:p>
            <w:r>
              <w:t>Registrations</w:t>
            </w:r>
          </w:p>
        </w:tc>
        <w:tc>
          <w:tcPr>
            <w:tcW w:type="dxa" w:w="1728"/>
          </w:tcPr>
          <w:p>
            <w:r>
              <w:t>515</w:t>
            </w:r>
          </w:p>
        </w:tc>
        <w:tc>
          <w:tcPr>
            <w:tcW w:type="dxa" w:w="1728"/>
          </w:tcPr>
          <w:p>
            <w:r>
              <w:t>791</w:t>
            </w:r>
          </w:p>
        </w:tc>
        <w:tc>
          <w:tcPr>
            <w:tcW w:type="dxa" w:w="1728"/>
          </w:tcPr>
          <w:p>
            <w:r>
              <w:t>65.1%</w:t>
            </w:r>
          </w:p>
        </w:tc>
        <w:tc>
          <w:tcPr>
            <w:tcW w:type="dxa" w:w="1728"/>
          </w:tcPr>
          <w:p>
            <w:r>
              <w:t>19%</w:t>
            </w:r>
          </w:p>
        </w:tc>
      </w:tr>
      <w:tr>
        <w:tc>
          <w:tcPr>
            <w:tcW w:type="dxa" w:w="1728"/>
          </w:tcPr>
          <w:p>
            <w:r>
              <w:t>Spend</w:t>
            </w:r>
          </w:p>
        </w:tc>
        <w:tc>
          <w:tcPr>
            <w:tcW w:type="dxa" w:w="1728"/>
          </w:tcPr>
          <w:p>
            <w:r>
              <w:t>$25,444</w:t>
            </w:r>
          </w:p>
        </w:tc>
        <w:tc>
          <w:tcPr>
            <w:tcW w:type="dxa" w:w="1728"/>
          </w:tcPr>
          <w:p>
            <w:r>
              <w:t>$35,085</w:t>
            </w:r>
          </w:p>
        </w:tc>
        <w:tc>
          <w:tcPr>
            <w:tcW w:type="dxa" w:w="1728"/>
          </w:tcPr>
          <w:p>
            <w:r>
              <w:t>72.5%</w:t>
            </w:r>
          </w:p>
        </w:tc>
        <w:tc>
          <w:tcPr>
            <w:tcW w:type="dxa" w:w="1728"/>
          </w:tcPr>
          <w:p>
            <w:r>
              <w:t>19%</w:t>
            </w:r>
          </w:p>
        </w:tc>
      </w:tr>
      <w:tr>
        <w:tc>
          <w:tcPr>
            <w:tcW w:type="dxa" w:w="1728"/>
          </w:tcPr>
          <w:p>
            <w:r>
              <w:t>Blended CPA</w:t>
            </w:r>
          </w:p>
        </w:tc>
        <w:tc>
          <w:tcPr>
            <w:tcW w:type="dxa" w:w="1728"/>
          </w:tcPr>
          <w:p>
            <w:r>
              <w:t>$49.41</w:t>
            </w:r>
          </w:p>
        </w:tc>
        <w:tc>
          <w:tcPr>
            <w:tcW w:type="dxa" w:w="1728"/>
          </w:tcPr>
          <w:p>
            <w:r>
              <w:t>$44.36</w:t>
            </w:r>
          </w:p>
        </w:tc>
        <w:tc>
          <w:tcPr>
            <w:tcW w:type="dxa" w:w="1728"/>
          </w:tcPr>
          <w:p>
            <w:r>
              <w:t>+11% above target</w:t>
            </w:r>
          </w:p>
        </w:tc>
        <w:tc>
          <w:tcPr>
            <w:tcW w:type="dxa" w:w="1728"/>
          </w:tcPr>
          <w:p>
            <w:r>
              <w:t>—</w:t>
            </w:r>
          </w:p>
        </w:tc>
      </w:tr>
    </w:tbl>
    <w:p>
      <w:r>
        <w:t>MX is running at 3.4× the registration pace and 3.8× the spend pace expected for the point of the month. If W16–W17 hold even the 8-week average of 339 regs/week, April closes above 1,190 registrations at roughly $100K spend — versus OP2 of 791 and $35K. The prior month (March closed at 1,483 regs / $96K spend / $64 CPA, +73% above OP2). A second consecutive month at 150%+ of OP2 regs will require an early-May finance check-in on the full-year reforecast.</w:t>
      </w:r>
    </w:p>
    <w:p>
      <w:pPr>
        <w:pStyle w:val="Heading2"/>
      </w:pPr>
      <w:r>
        <w:t>Appendix D: FY26 Scenario Summary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Metric</w:t>
            </w:r>
          </w:p>
        </w:tc>
        <w:tc>
          <w:tcPr>
            <w:tcW w:type="dxa" w:w="2160"/>
          </w:tcPr>
          <w:p>
            <w:r>
              <w:t>OP2</w:t>
            </w:r>
          </w:p>
        </w:tc>
        <w:tc>
          <w:tcPr>
            <w:tcW w:type="dxa" w:w="2160"/>
          </w:tcPr>
          <w:p>
            <w:r>
              <w:t>Scenario 1 (100% ie%CCP)</w:t>
            </w:r>
          </w:p>
        </w:tc>
        <w:tc>
          <w:tcPr>
            <w:tcW w:type="dxa" w:w="2160"/>
          </w:tcPr>
          <w:p>
            <w:r>
              <w:t>Scenario 2 (75% ie%CCP)</w:t>
            </w:r>
          </w:p>
        </w:tc>
      </w:tr>
      <w:tr>
        <w:tc>
          <w:tcPr>
            <w:tcW w:type="dxa" w:w="2160"/>
          </w:tcPr>
          <w:p>
            <w:r>
              <w:t>Total spend</w:t>
            </w:r>
          </w:p>
        </w:tc>
        <w:tc>
          <w:tcPr>
            <w:tcW w:type="dxa" w:w="2160"/>
          </w:tcPr>
          <w:p>
            <w:r>
              <w:t>$542K</w:t>
            </w:r>
          </w:p>
        </w:tc>
        <w:tc>
          <w:tcPr>
            <w:tcW w:type="dxa" w:w="2160"/>
          </w:tcPr>
          <w:p>
            <w:r>
              <w:t>$959K (+77%)</w:t>
            </w:r>
          </w:p>
        </w:tc>
        <w:tc>
          <w:tcPr>
            <w:tcW w:type="dxa" w:w="2160"/>
          </w:tcPr>
          <w:p>
            <w:r>
              <w:t>$745K (+37%)</w:t>
            </w:r>
          </w:p>
        </w:tc>
      </w:tr>
      <w:tr>
        <w:tc>
          <w:tcPr>
            <w:tcW w:type="dxa" w:w="2160"/>
          </w:tcPr>
          <w:p>
            <w:r>
              <w:t>Total regs</w:t>
            </w:r>
          </w:p>
        </w:tc>
        <w:tc>
          <w:tcPr>
            <w:tcW w:type="dxa" w:w="2160"/>
          </w:tcPr>
          <w:p>
            <w:r>
              <w:t>11,178</w:t>
            </w:r>
          </w:p>
        </w:tc>
        <w:tc>
          <w:tcPr>
            <w:tcW w:type="dxa" w:w="2160"/>
          </w:tcPr>
          <w:p>
            <w:r>
              <w:t>15,051 (+35%)</w:t>
            </w:r>
          </w:p>
        </w:tc>
        <w:tc>
          <w:tcPr>
            <w:tcW w:type="dxa" w:w="2160"/>
          </w:tcPr>
          <w:p>
            <w:r>
              <w:t>13,948 (+25%)</w:t>
            </w:r>
          </w:p>
        </w:tc>
      </w:tr>
      <w:tr>
        <w:tc>
          <w:tcPr>
            <w:tcW w:type="dxa" w:w="2160"/>
          </w:tcPr>
          <w:p>
            <w:r>
              <w:t>Blended CPA</w:t>
            </w:r>
          </w:p>
        </w:tc>
        <w:tc>
          <w:tcPr>
            <w:tcW w:type="dxa" w:w="2160"/>
          </w:tcPr>
          <w:p>
            <w:r>
              <w:t>$48</w:t>
            </w:r>
          </w:p>
        </w:tc>
        <w:tc>
          <w:tcPr>
            <w:tcW w:type="dxa" w:w="2160"/>
          </w:tcPr>
          <w:p>
            <w:r>
              <w:t>$64</w:t>
            </w:r>
          </w:p>
        </w:tc>
        <w:tc>
          <w:tcPr>
            <w:tcW w:type="dxa" w:w="2160"/>
          </w:tcPr>
          <w:p>
            <w:r>
              <w:t>$53</w:t>
            </w:r>
          </w:p>
        </w:tc>
      </w:tr>
      <w:tr>
        <w:tc>
          <w:tcPr>
            <w:tcW w:type="dxa" w:w="2160"/>
          </w:tcPr>
          <w:p>
            <w:r>
              <w:t>ie%CCP</w:t>
            </w:r>
          </w:p>
        </w:tc>
        <w:tc>
          <w:tcPr>
            <w:tcW w:type="dxa" w:w="2160"/>
          </w:tcPr>
          <w:p>
            <w:r>
              <w:t>~75%</w:t>
            </w:r>
          </w:p>
        </w:tc>
        <w:tc>
          <w:tcPr>
            <w:tcW w:type="dxa" w:w="2160"/>
          </w:tcPr>
          <w:p>
            <w:r>
              <w:t>~96%</w:t>
            </w:r>
          </w:p>
        </w:tc>
        <w:tc>
          <w:tcPr>
            <w:tcW w:type="dxa" w:w="2160"/>
          </w:tcPr>
          <w:p>
            <w:r>
              <w:t>~79%</w:t>
            </w:r>
          </w:p>
        </w:tc>
      </w:tr>
    </w:tbl>
    <w:p>
      <w:r>
        <w:t>Finance allocation: $1.8M. OP2 spend is the ie%CCP-constrained plan. Both upside scenarios are within the finance envelope.</w:t>
      </w:r>
    </w:p>
    <w:p>
      <w:pPr>
        <w:pStyle w:val="Heading2"/>
      </w:pPr>
      <w:r>
        <w:t>Appendix E: Change Log (2026 YTD)</w:t>
      </w:r>
    </w:p>
    <w:tbl>
      <w:tblPr>
        <w:tblStyle w:val="TableGrid"/>
        <w:tblW w:type="auto" w:w="0"/>
        <w:tblLook w:firstColumn="1" w:firstRow="1" w:lastColumn="0" w:lastRow="0" w:noHBand="0" w:noVBand="1" w:val="04A0"/>
      </w:tblPr>
      <w:tblGrid>
        <w:gridCol w:w="2880"/>
        <w:gridCol w:w="2880"/>
        <w:gridCol w:w="2880"/>
      </w:tblGrid>
      <w:tr>
        <w:tc>
          <w:tcPr>
            <w:tcW w:type="dxa" w:w="2880"/>
          </w:tcPr>
          <w:p>
            <w:r>
              <w:t>Date</w:t>
            </w:r>
          </w:p>
        </w:tc>
        <w:tc>
          <w:tcPr>
            <w:tcW w:type="dxa" w:w="2880"/>
          </w:tcPr>
          <w:p>
            <w:r>
              <w:t>Change</w:t>
            </w:r>
          </w:p>
        </w:tc>
        <w:tc>
          <w:tcPr>
            <w:tcW w:type="dxa" w:w="2880"/>
          </w:tcPr>
          <w:p>
            <w:r>
              <w:t>Owner</w:t>
            </w:r>
          </w:p>
        </w:tc>
      </w:tr>
      <w:tr>
        <w:tc>
          <w:tcPr>
            <w:tcW w:type="dxa" w:w="2880"/>
          </w:tcPr>
          <w:p>
            <w:r>
              <w:t>1/12</w:t>
            </w:r>
          </w:p>
        </w:tc>
        <w:tc>
          <w:tcPr>
            <w:tcW w:type="dxa" w:w="2880"/>
          </w:tcPr>
          <w:p>
            <w:r>
              <w:t>Increased budgets in Brand Phrase and NB to $2K</w:t>
            </w:r>
          </w:p>
        </w:tc>
        <w:tc>
          <w:tcPr>
            <w:tcW w:type="dxa" w:w="2880"/>
          </w:tcPr>
          <w:p>
            <w:r>
              <w:t>Richard</w:t>
            </w:r>
          </w:p>
        </w:tc>
      </w:tr>
      <w:tr>
        <w:tc>
          <w:tcPr>
            <w:tcW w:type="dxa" w:w="2880"/>
          </w:tcPr>
          <w:p>
            <w:r>
              <w:t>1/20</w:t>
            </w:r>
          </w:p>
        </w:tc>
        <w:tc>
          <w:tcPr>
            <w:tcW w:type="dxa" w:w="2880"/>
          </w:tcPr>
          <w:p>
            <w:r>
              <w:t>Increased Brand Plus max CPC from 12 to 18</w:t>
            </w:r>
          </w:p>
        </w:tc>
        <w:tc>
          <w:tcPr>
            <w:tcW w:type="dxa" w:w="2880"/>
          </w:tcPr>
          <w:p>
            <w:r>
              <w:t>Richard</w:t>
            </w:r>
          </w:p>
        </w:tc>
      </w:tr>
      <w:tr>
        <w:tc>
          <w:tcPr>
            <w:tcW w:type="dxa" w:w="2880"/>
          </w:tcPr>
          <w:p>
            <w:r>
              <w:t>1/20</w:t>
            </w:r>
          </w:p>
        </w:tc>
        <w:tc>
          <w:tcPr>
            <w:tcW w:type="dxa" w:w="2880"/>
          </w:tcPr>
          <w:p>
            <w:r>
              <w:t>Increased NB target budgets +51% ($9.9K→$15K/wk)</w:t>
            </w:r>
          </w:p>
        </w:tc>
        <w:tc>
          <w:tcPr>
            <w:tcW w:type="dxa" w:w="2880"/>
          </w:tcPr>
          <w:p>
            <w:r>
              <w:t>Richard</w:t>
            </w:r>
          </w:p>
        </w:tc>
      </w:tr>
      <w:tr>
        <w:tc>
          <w:tcPr>
            <w:tcW w:type="dxa" w:w="2880"/>
          </w:tcPr>
          <w:p>
            <w:r>
              <w:t>2/3</w:t>
            </w:r>
          </w:p>
        </w:tc>
        <w:tc>
          <w:tcPr>
            <w:tcW w:type="dxa" w:w="2880"/>
          </w:tcPr>
          <w:p>
            <w:r>
              <w:t>Decreased NB budget -19% to align with Feb budget and 100% ie%CCP</w:t>
            </w:r>
          </w:p>
        </w:tc>
        <w:tc>
          <w:tcPr>
            <w:tcW w:type="dxa" w:w="2880"/>
          </w:tcPr>
          <w:p>
            <w:r>
              <w:t>Richard</w:t>
            </w:r>
          </w:p>
        </w:tc>
      </w:tr>
      <w:tr>
        <w:tc>
          <w:tcPr>
            <w:tcW w:type="dxa" w:w="2880"/>
          </w:tcPr>
          <w:p>
            <w:r>
              <w:t>2/10</w:t>
            </w:r>
          </w:p>
        </w:tc>
        <w:tc>
          <w:tcPr>
            <w:tcW w:type="dxa" w:w="2880"/>
          </w:tcPr>
          <w:p>
            <w:r>
              <w:t>Changed Generic to CPT bidding; increased NB budget +5%</w:t>
            </w:r>
          </w:p>
        </w:tc>
        <w:tc>
          <w:tcPr>
            <w:tcW w:type="dxa" w:w="2880"/>
          </w:tcPr>
          <w:p>
            <w:r>
              <w:t>Richard</w:t>
            </w:r>
          </w:p>
        </w:tc>
      </w:tr>
      <w:tr>
        <w:tc>
          <w:tcPr>
            <w:tcW w:type="dxa" w:w="2880"/>
          </w:tcPr>
          <w:p>
            <w:r>
              <w:t>2/23</w:t>
            </w:r>
          </w:p>
        </w:tc>
        <w:tc>
          <w:tcPr>
            <w:tcW w:type="dxa" w:w="2880"/>
          </w:tcPr>
          <w:p>
            <w:r>
              <w:t>Transitioned all NB to CPT portfolio; targeting +30% spend</w:t>
            </w:r>
          </w:p>
        </w:tc>
        <w:tc>
          <w:tcPr>
            <w:tcW w:type="dxa" w:w="2880"/>
          </w:tcPr>
          <w:p>
            <w:r>
              <w:t>Richard</w:t>
            </w:r>
          </w:p>
        </w:tc>
      </w:tr>
      <w:tr>
        <w:tc>
          <w:tcPr>
            <w:tcW w:type="dxa" w:w="2880"/>
          </w:tcPr>
          <w:p>
            <w:r>
              <w:t>3/5</w:t>
            </w:r>
          </w:p>
        </w:tc>
        <w:tc>
          <w:tcPr>
            <w:tcW w:type="dxa" w:w="2880"/>
          </w:tcPr>
          <w:p>
            <w:r>
              <w:t>Added negatives to improve query routing (Generic + Brand Phrase)</w:t>
            </w:r>
          </w:p>
        </w:tc>
        <w:tc>
          <w:tcPr>
            <w:tcW w:type="dxa" w:w="2880"/>
          </w:tcPr>
          <w:p>
            <w:r>
              <w:t>Richard</w:t>
            </w:r>
          </w:p>
        </w:tc>
      </w:tr>
      <w:tr>
        <w:tc>
          <w:tcPr>
            <w:tcW w:type="dxa" w:w="2880"/>
          </w:tcPr>
          <w:p>
            <w:r>
              <w:t>3/5</w:t>
            </w:r>
          </w:p>
        </w:tc>
        <w:tc>
          <w:tcPr>
            <w:tcW w:type="dxa" w:w="2880"/>
          </w:tcPr>
          <w:p>
            <w:r>
              <w:t>Left budgets/bids unchanged based on weekly performance</w:t>
            </w:r>
          </w:p>
        </w:tc>
        <w:tc>
          <w:tcPr>
            <w:tcW w:type="dxa" w:w="2880"/>
          </w:tcPr>
          <w:p>
            <w:r>
              <w:t>Richard</w:t>
            </w:r>
          </w:p>
        </w:tc>
      </w:tr>
      <w:tr>
        <w:tc>
          <w:tcPr>
            <w:tcW w:type="dxa" w:w="2880"/>
          </w:tcPr>
          <w:p>
            <w:r>
              <w:t>3/25</w:t>
            </w:r>
          </w:p>
        </w:tc>
        <w:tc>
          <w:tcPr>
            <w:tcW w:type="dxa" w:w="2880"/>
          </w:tcPr>
          <w:p>
            <w:r>
              <w:t>W12 callout: 330 regs (-16% WoW), $61 CPA, 90% ie%CCP</w:t>
            </w:r>
          </w:p>
        </w:tc>
        <w:tc>
          <w:tcPr>
            <w:tcW w:type="dxa" w:w="2880"/>
          </w:tcPr>
          <w:p>
            <w:r>
              <w:t>Richard</w:t>
            </w:r>
          </w:p>
        </w:tc>
      </w:tr>
      <w:tr>
        <w:tc>
          <w:tcPr>
            <w:tcW w:type="dxa" w:w="2880"/>
          </w:tcPr>
          <w:p>
            <w:r>
              <w:t>3/29–4/5</w:t>
            </w:r>
          </w:p>
        </w:tc>
        <w:tc>
          <w:tcPr>
            <w:tcW w:type="dxa" w:w="2880"/>
          </w:tcPr>
          <w:p>
            <w:r>
              <w:t>Semana Santa suppression (-32.6% WoW in W14)</w:t>
            </w:r>
          </w:p>
        </w:tc>
        <w:tc>
          <w:tcPr>
            <w:tcW w:type="dxa" w:w="2880"/>
          </w:tcPr>
          <w:p>
            <w:r>
              <w:t>—</w:t>
            </w:r>
          </w:p>
        </w:tc>
      </w:tr>
      <w:tr>
        <w:tc>
          <w:tcPr>
            <w:tcW w:type="dxa" w:w="2880"/>
          </w:tcPr>
          <w:p>
            <w:r>
              <w:t>4/14</w:t>
            </w:r>
          </w:p>
        </w:tc>
        <w:tc>
          <w:tcPr>
            <w:tcW w:type="dxa" w:w="2880"/>
          </w:tcPr>
          <w:p>
            <w:r>
              <w:t>Diana flagged duplicate $56K Google MX invoice; Richard engaging Google</w:t>
            </w:r>
          </w:p>
        </w:tc>
        <w:tc>
          <w:tcPr>
            <w:tcW w:type="dxa" w:w="2880"/>
          </w:tcPr>
          <w:p>
            <w:r>
              <w:t>Diana + Richard</w:t>
            </w:r>
          </w:p>
        </w:tc>
      </w:tr>
      <w:tr>
        <w:tc>
          <w:tcPr>
            <w:tcW w:type="dxa" w:w="2880"/>
          </w:tcPr>
          <w:p>
            <w:r>
              <w:t>4/17</w:t>
            </w:r>
          </w:p>
        </w:tc>
        <w:tc>
          <w:tcPr>
            <w:tcW w:type="dxa" w:w="2880"/>
          </w:tcPr>
          <w:p>
            <w:r>
              <w:t>Richard acknowledged duplicate invoice resolution path to Diana</w:t>
            </w:r>
          </w:p>
        </w:tc>
        <w:tc>
          <w:tcPr>
            <w:tcW w:type="dxa" w:w="2880"/>
          </w:tcPr>
          <w:p>
            <w:r>
              <w:t>Richard</w:t>
            </w:r>
          </w:p>
        </w:tc>
      </w:tr>
    </w:tbl>
    <w:p>
      <w:pPr>
        <w:pStyle w:val="Heading2"/>
      </w:pPr>
      <w:r>
        <w:t>Appendix F: Variance Bridge — Data Source Reconciliation</w:t>
      </w:r>
    </w:p>
    <w:p>
      <w:r>
        <w:t>MX currently operates without OCI (Online Conversion Integration). All conversion data flows through Google Ads native tracking. No variance bridge between advertising platform and internal ERP is required at this time. When OCI launches for MX (timeline TBD, no MCC created), this section will document the expected 5–15% discrepancy between Ordered Product Sales and Shipped Product Sales, and the reconciliation methodology.</w:t>
      </w:r>
    </w:p>
    <w:p>
      <w:r>
        <w:t>**Known data limitation:** ie%CCP ratios are calculated from dashboard CCP values (Brand $90, NB $30). If finance revises CCP downward, ie%CCP tightens and NB capacity shrinks. The dashboard ingester corrected an ie%CCP calculation bug on 3/30 (was reading CPA instead of ie%CCP ratios).</w:t>
      </w:r>
    </w:p>
    <w:p>
      <w:r>
        <w:t>**Graph API concurrency protocol:** When the agent swarm updates this file on SharePoint, it must: (1) read the current eTag of the .docx before initiating XML patching, (2) if the eTag has changed during generation (another user or agent modified the file), fail the update and retry from fetch, (3) respect the 5MB file size limit — current .docx is ~44KB, well within bounds. Authentication uses the device code flow configured in the SharePoint MCP server.</w:t>
      </w:r>
    </w:p>
    <w:p>
      <w:r>
        <w:t>---</w:t>
      </w:r>
    </w:p>
    <w:p>
      <w:pPr>
        <w:pStyle w:val="Heading2"/>
      </w:pPr>
      <w:r>
        <w:t>Appendix H: Placeholder Schema for Automated Refresh</w:t>
      </w:r>
    </w:p>
    <w:p>
      <w:r>
        <w:t>This schema defines the contract between the Kiro agent swarm (LLM output) and the DOCX template (deterministic patching). The agent generates a JSON payload mapping these keys to generated strings. A patching script replaces the placeholders in the Word XML without touching surrounding formatting.</w:t>
      </w:r>
    </w:p>
    <w:p>
      <w:pPr>
        <w:pStyle w:val="Heading3"/>
      </w:pPr>
      <w:r>
        <w:t>Placeholder Taxonomy</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Placeholder Tag</w:t>
            </w:r>
          </w:p>
        </w:tc>
        <w:tc>
          <w:tcPr>
            <w:tcW w:type="dxa" w:w="2160"/>
          </w:tcPr>
          <w:p>
            <w:r>
              <w:t>Section</w:t>
            </w:r>
          </w:p>
        </w:tc>
        <w:tc>
          <w:tcPr>
            <w:tcW w:type="dxa" w:w="2160"/>
          </w:tcPr>
          <w:p>
            <w:r>
              <w:t>Data Source</w:t>
            </w:r>
          </w:p>
        </w:tc>
        <w:tc>
          <w:tcPr>
            <w:tcW w:type="dxa" w:w="2160"/>
          </w:tcPr>
          <w:p>
            <w:r>
              <w:t>Update Cadence</w:t>
            </w:r>
          </w:p>
        </w:tc>
      </w:tr>
      <w:tr>
        <w:tc>
          <w:tcPr>
            <w:tcW w:type="dxa" w:w="2160"/>
          </w:tcPr>
          <w:p>
            <w:r>
              <w:t>`{{REPORTING_PERIOD}}`</w:t>
            </w:r>
          </w:p>
        </w:tc>
        <w:tc>
          <w:tcPr>
            <w:tcW w:type="dxa" w:w="2160"/>
          </w:tcPr>
          <w:p>
            <w:r>
              <w:t>Header</w:t>
            </w:r>
          </w:p>
        </w:tc>
        <w:tc>
          <w:tcPr>
            <w:tcW w:type="dxa" w:w="2160"/>
          </w:tcPr>
          <w:p>
            <w:r>
              <w:t>Calendar + dashboard week</w:t>
            </w:r>
          </w:p>
        </w:tc>
        <w:tc>
          <w:tcPr>
            <w:tcW w:type="dxa" w:w="2160"/>
          </w:tcPr>
          <w:p>
            <w:r>
              <w:t>Weekly</w:t>
            </w:r>
          </w:p>
        </w:tc>
      </w:tr>
      <w:tr>
        <w:tc>
          <w:tcPr>
            <w:tcW w:type="dxa" w:w="2160"/>
          </w:tcPr>
          <w:p>
            <w:r>
              <w:t>`{{INTRO_PARAGRAPH}}`</w:t>
            </w:r>
          </w:p>
        </w:tc>
        <w:tc>
          <w:tcPr>
            <w:tcW w:type="dxa" w:w="2160"/>
          </w:tcPr>
          <w:p>
            <w:r>
              <w:t>Introduction</w:t>
            </w:r>
          </w:p>
        </w:tc>
        <w:tc>
          <w:tcPr>
            <w:tcW w:type="dxa" w:w="2160"/>
          </w:tcPr>
          <w:p>
            <w:r>
              <w:t>Semi-static; update on stakeholder/structural changes</w:t>
            </w:r>
          </w:p>
        </w:tc>
        <w:tc>
          <w:tcPr>
            <w:tcW w:type="dxa" w:w="2160"/>
          </w:tcPr>
          <w:p>
            <w:r>
              <w:t>Monthly</w:t>
            </w:r>
          </w:p>
        </w:tc>
      </w:tr>
      <w:tr>
        <w:tc>
          <w:tcPr>
            <w:tcW w:type="dxa" w:w="2160"/>
          </w:tcPr>
          <w:p>
            <w:r>
              <w:t>`{{SOTB_PARAGRAPH_1}}`</w:t>
            </w:r>
          </w:p>
        </w:tc>
        <w:tc>
          <w:tcPr>
            <w:tcW w:type="dxa" w:w="2160"/>
          </w:tcPr>
          <w:p>
            <w:r>
              <w:t>State of Business — headline</w:t>
            </w:r>
          </w:p>
        </w:tc>
        <w:tc>
          <w:tcPr>
            <w:tcW w:type="dxa" w:w="2160"/>
          </w:tcPr>
          <w:p>
            <w:r>
              <w:t>Weekly metrics JSON</w:t>
            </w:r>
          </w:p>
        </w:tc>
        <w:tc>
          <w:tcPr>
            <w:tcW w:type="dxa" w:w="2160"/>
          </w:tcPr>
          <w:p>
            <w:r>
              <w:t>Weekly</w:t>
            </w:r>
          </w:p>
        </w:tc>
      </w:tr>
      <w:tr>
        <w:tc>
          <w:tcPr>
            <w:tcW w:type="dxa" w:w="2160"/>
          </w:tcPr>
          <w:p>
            <w:r>
              <w:t>`{{SOTB_INPUT_TABLE}}`</w:t>
            </w:r>
          </w:p>
        </w:tc>
        <w:tc>
          <w:tcPr>
            <w:tcW w:type="dxa" w:w="2160"/>
          </w:tcPr>
          <w:p>
            <w:r>
              <w:t>State of Business — input metrics</w:t>
            </w:r>
          </w:p>
        </w:tc>
        <w:tc>
          <w:tcPr>
            <w:tcW w:type="dxa" w:w="2160"/>
          </w:tcPr>
          <w:p>
            <w:r>
              <w:t>Weekly metrics JSON</w:t>
            </w:r>
          </w:p>
        </w:tc>
        <w:tc>
          <w:tcPr>
            <w:tcW w:type="dxa" w:w="2160"/>
          </w:tcPr>
          <w:p>
            <w:r>
              <w:t>Weekly</w:t>
            </w:r>
          </w:p>
        </w:tc>
      </w:tr>
      <w:tr>
        <w:tc>
          <w:tcPr>
            <w:tcW w:type="dxa" w:w="2160"/>
          </w:tcPr>
          <w:p>
            <w:r>
              <w:t>`{{SOTB_OUTPUT_TABLE}}`</w:t>
            </w:r>
          </w:p>
        </w:tc>
        <w:tc>
          <w:tcPr>
            <w:tcW w:type="dxa" w:w="2160"/>
          </w:tcPr>
          <w:p>
            <w:r>
              <w:t>State of Business — output metrics</w:t>
            </w:r>
          </w:p>
        </w:tc>
        <w:tc>
          <w:tcPr>
            <w:tcW w:type="dxa" w:w="2160"/>
          </w:tcPr>
          <w:p>
            <w:r>
              <w:t>Weekly metrics JSON</w:t>
            </w:r>
          </w:p>
        </w:tc>
        <w:tc>
          <w:tcPr>
            <w:tcW w:type="dxa" w:w="2160"/>
          </w:tcPr>
          <w:p>
            <w:r>
              <w:t>Weekly</w:t>
            </w:r>
          </w:p>
        </w:tc>
      </w:tr>
      <w:tr>
        <w:tc>
          <w:tcPr>
            <w:tcW w:type="dxa" w:w="2160"/>
          </w:tcPr>
          <w:p>
            <w:r>
              <w:t>`{{SOTB_ANALYSIS}}`</w:t>
            </w:r>
          </w:p>
        </w:tc>
        <w:tc>
          <w:tcPr>
            <w:tcW w:type="dxa" w:w="2160"/>
          </w:tcPr>
          <w:p>
            <w:r>
              <w:t>State of Business — narrative bridge</w:t>
            </w:r>
          </w:p>
        </w:tc>
        <w:tc>
          <w:tcPr>
            <w:tcW w:type="dxa" w:w="2160"/>
          </w:tcPr>
          <w:p>
            <w:r>
              <w:t>LLM synthesis of input→output causation</w:t>
            </w:r>
          </w:p>
        </w:tc>
        <w:tc>
          <w:tcPr>
            <w:tcW w:type="dxa" w:w="2160"/>
          </w:tcPr>
          <w:p>
            <w:r>
              <w:t>Weekly</w:t>
            </w:r>
          </w:p>
        </w:tc>
      </w:tr>
      <w:tr>
        <w:tc>
          <w:tcPr>
            <w:tcW w:type="dxa" w:w="2160"/>
          </w:tcPr>
          <w:p>
            <w:r>
              <w:t>`{{SOTB_YOY_NARRATIVE}}`</w:t>
            </w:r>
          </w:p>
        </w:tc>
        <w:tc>
          <w:tcPr>
            <w:tcW w:type="dxa" w:w="2160"/>
          </w:tcPr>
          <w:p>
            <w:r>
              <w:t>State of Business — YoY context</w:t>
            </w:r>
          </w:p>
        </w:tc>
        <w:tc>
          <w:tcPr>
            <w:tcW w:type="dxa" w:w="2160"/>
          </w:tcPr>
          <w:p>
            <w:r>
              <w:t>Weekly metrics + LY comparison</w:t>
            </w:r>
          </w:p>
        </w:tc>
        <w:tc>
          <w:tcPr>
            <w:tcW w:type="dxa" w:w="2160"/>
          </w:tcPr>
          <w:p>
            <w:r>
              <w:t>Weekly</w:t>
            </w:r>
          </w:p>
        </w:tc>
      </w:tr>
      <w:tr>
        <w:tc>
          <w:tcPr>
            <w:tcW w:type="dxa" w:w="2160"/>
          </w:tcPr>
          <w:p>
            <w:r>
              <w:t>`{{SOTB_ANOMALY_FLAG}}`</w:t>
            </w:r>
          </w:p>
        </w:tc>
        <w:tc>
          <w:tcPr>
            <w:tcW w:type="dxa" w:w="2160"/>
          </w:tcPr>
          <w:p>
            <w:r>
              <w:t>State of Business — anomaly detection</w:t>
            </w:r>
          </w:p>
        </w:tc>
        <w:tc>
          <w:tcPr>
            <w:tcW w:type="dxa" w:w="2160"/>
          </w:tcPr>
          <w:p>
            <w:r>
              <w:t>Anomaly engine (&gt;20% deviation from 8wk avg)</w:t>
            </w:r>
          </w:p>
        </w:tc>
        <w:tc>
          <w:tcPr>
            <w:tcW w:type="dxa" w:w="2160"/>
          </w:tcPr>
          <w:p>
            <w:r>
              <w:t>Weekly</w:t>
            </w:r>
          </w:p>
        </w:tc>
      </w:tr>
      <w:tr>
        <w:tc>
          <w:tcPr>
            <w:tcW w:type="dxa" w:w="2160"/>
          </w:tcPr>
          <w:p>
            <w:r>
              <w:t>`{{SOTB_NULL_CASE}}`</w:t>
            </w:r>
          </w:p>
        </w:tc>
        <w:tc>
          <w:tcPr>
            <w:tcW w:type="dxa" w:w="2160"/>
          </w:tcPr>
          <w:p>
            <w:r>
              <w:t>State of Business — cost of inaction</w:t>
            </w:r>
          </w:p>
        </w:tc>
        <w:tc>
          <w:tcPr>
            <w:tcW w:type="dxa" w:w="2160"/>
          </w:tcPr>
          <w:p>
            <w:r>
              <w:t>ie%CCP model + budget constraints</w:t>
            </w:r>
          </w:p>
        </w:tc>
        <w:tc>
          <w:tcPr>
            <w:tcW w:type="dxa" w:w="2160"/>
          </w:tcPr>
          <w:p>
            <w:r>
              <w:t>Weekly</w:t>
            </w:r>
          </w:p>
        </w:tc>
      </w:tr>
      <w:tr>
        <w:tc>
          <w:tcPr>
            <w:tcW w:type="dxa" w:w="2160"/>
          </w:tcPr>
          <w:p>
            <w:r>
              <w:t>`{{LESSONS_1}}`</w:t>
            </w:r>
          </w:p>
        </w:tc>
        <w:tc>
          <w:tcPr>
            <w:tcW w:type="dxa" w:w="2160"/>
          </w:tcPr>
          <w:p>
            <w:r>
              <w:t>Lessons Learned — insight 1</w:t>
            </w:r>
          </w:p>
        </w:tc>
        <w:tc>
          <w:tcPr>
            <w:tcW w:type="dxa" w:w="2160"/>
          </w:tcPr>
          <w:p>
            <w:r>
              <w:t>LLM synthesis of trailing 3-week window</w:t>
            </w:r>
          </w:p>
        </w:tc>
        <w:tc>
          <w:tcPr>
            <w:tcW w:type="dxa" w:w="2160"/>
          </w:tcPr>
          <w:p>
            <w:r>
              <w:t>Weekly</w:t>
            </w:r>
          </w:p>
        </w:tc>
      </w:tr>
      <w:tr>
        <w:tc>
          <w:tcPr>
            <w:tcW w:type="dxa" w:w="2160"/>
          </w:tcPr>
          <w:p>
            <w:r>
              <w:t>`{{LESSONS_2}}`</w:t>
            </w:r>
          </w:p>
        </w:tc>
        <w:tc>
          <w:tcPr>
            <w:tcW w:type="dxa" w:w="2160"/>
          </w:tcPr>
          <w:p>
            <w:r>
              <w:t>Lessons Learned — insight 2</w:t>
            </w:r>
          </w:p>
        </w:tc>
        <w:tc>
          <w:tcPr>
            <w:tcW w:type="dxa" w:w="2160"/>
          </w:tcPr>
          <w:p>
            <w:r>
              <w:t>LLM synthesis</w:t>
            </w:r>
          </w:p>
        </w:tc>
        <w:tc>
          <w:tcPr>
            <w:tcW w:type="dxa" w:w="2160"/>
          </w:tcPr>
          <w:p>
            <w:r>
              <w:t>Weekly</w:t>
            </w:r>
          </w:p>
        </w:tc>
      </w:tr>
      <w:tr>
        <w:tc>
          <w:tcPr>
            <w:tcW w:type="dxa" w:w="2160"/>
          </w:tcPr>
          <w:p>
            <w:r>
              <w:t>`{{LESSONS_3}}`</w:t>
            </w:r>
          </w:p>
        </w:tc>
        <w:tc>
          <w:tcPr>
            <w:tcW w:type="dxa" w:w="2160"/>
          </w:tcPr>
          <w:p>
            <w:r>
              <w:t>Lessons Learned — insight 3</w:t>
            </w:r>
          </w:p>
        </w:tc>
        <w:tc>
          <w:tcPr>
            <w:tcW w:type="dxa" w:w="2160"/>
          </w:tcPr>
          <w:p>
            <w:r>
              <w:t>LLM synthesis</w:t>
            </w:r>
          </w:p>
        </w:tc>
        <w:tc>
          <w:tcPr>
            <w:tcW w:type="dxa" w:w="2160"/>
          </w:tcPr>
          <w:p>
            <w:r>
              <w:t>Weekly</w:t>
            </w:r>
          </w:p>
        </w:tc>
      </w:tr>
      <w:tr>
        <w:tc>
          <w:tcPr>
            <w:tcW w:type="dxa" w:w="2160"/>
          </w:tcPr>
          <w:p>
            <w:r>
              <w:t>`{{PRIORITIES_TABLE}}`</w:t>
            </w:r>
          </w:p>
        </w:tc>
        <w:tc>
          <w:tcPr>
            <w:tcW w:type="dxa" w:w="2160"/>
          </w:tcPr>
          <w:p>
            <w:r>
              <w:t>Strategic Priorities — action table</w:t>
            </w:r>
          </w:p>
        </w:tc>
        <w:tc>
          <w:tcPr>
            <w:tcW w:type="dxa" w:w="2160"/>
          </w:tcPr>
          <w:p>
            <w:r>
              <w:t>Asana tasks + overdue items + calendar</w:t>
            </w:r>
          </w:p>
        </w:tc>
        <w:tc>
          <w:tcPr>
            <w:tcW w:type="dxa" w:w="2160"/>
          </w:tcPr>
          <w:p>
            <w:r>
              <w:t>Daily</w:t>
            </w:r>
          </w:p>
        </w:tc>
      </w:tr>
      <w:tr>
        <w:tc>
          <w:tcPr>
            <w:tcW w:type="dxa" w:w="2160"/>
          </w:tcPr>
          <w:p>
            <w:r>
              <w:t>`{{BLOCKED_ITEMS}}`</w:t>
            </w:r>
          </w:p>
        </w:tc>
        <w:tc>
          <w:tcPr>
            <w:tcW w:type="dxa" w:w="2160"/>
          </w:tcPr>
          <w:p>
            <w:r>
              <w:t>Strategic Priorities — blockers</w:t>
            </w:r>
          </w:p>
        </w:tc>
        <w:tc>
          <w:tcPr>
            <w:tcW w:type="dxa" w:w="2160"/>
          </w:tcPr>
          <w:p>
            <w:r>
              <w:t>Asana blocked tasks</w:t>
            </w:r>
          </w:p>
        </w:tc>
        <w:tc>
          <w:tcPr>
            <w:tcW w:type="dxa" w:w="2160"/>
          </w:tcPr>
          <w:p>
            <w:r>
              <w:t>Daily</w:t>
            </w:r>
          </w:p>
        </w:tc>
      </w:tr>
      <w:tr>
        <w:tc>
          <w:tcPr>
            <w:tcW w:type="dxa" w:w="2160"/>
          </w:tcPr>
          <w:p>
            <w:r>
              <w:t>`{{STAKEHOLDER_ACTIONS}}`</w:t>
            </w:r>
          </w:p>
        </w:tc>
        <w:tc>
          <w:tcPr>
            <w:tcW w:type="dxa" w:w="2160"/>
          </w:tcPr>
          <w:p>
            <w:r>
              <w:t>Strategic Priorities — external deps</w:t>
            </w:r>
          </w:p>
        </w:tc>
        <w:tc>
          <w:tcPr>
            <w:tcW w:type="dxa" w:w="2160"/>
          </w:tcPr>
          <w:p>
            <w:r>
              <w:t>Memory.md relationship graph + Asana</w:t>
            </w:r>
          </w:p>
        </w:tc>
        <w:tc>
          <w:tcPr>
            <w:tcW w:type="dxa" w:w="2160"/>
          </w:tcPr>
          <w:p>
            <w:r>
              <w:t>Daily</w:t>
            </w:r>
          </w:p>
        </w:tc>
      </w:tr>
      <w:tr>
        <w:tc>
          <w:tcPr>
            <w:tcW w:type="dxa" w:w="2160"/>
          </w:tcPr>
          <w:p>
            <w:r>
              <w:t>`{{APPENDIX_A_TREND}}`</w:t>
            </w:r>
          </w:p>
        </w:tc>
        <w:tc>
          <w:tcPr>
            <w:tcW w:type="dxa" w:w="2160"/>
          </w:tcPr>
          <w:p>
            <w:r>
              <w:t>Appendix A — weekly trend table</w:t>
            </w:r>
          </w:p>
        </w:tc>
        <w:tc>
          <w:tcPr>
            <w:tcW w:type="dxa" w:w="2160"/>
          </w:tcPr>
          <w:p>
            <w:r>
              <w:t>DuckDB weekly_metrics</w:t>
            </w:r>
          </w:p>
        </w:tc>
        <w:tc>
          <w:tcPr>
            <w:tcW w:type="dxa" w:w="2160"/>
          </w:tcPr>
          <w:p>
            <w:r>
              <w:t>Weekly</w:t>
            </w:r>
          </w:p>
        </w:tc>
      </w:tr>
      <w:tr>
        <w:tc>
          <w:tcPr>
            <w:tcW w:type="dxa" w:w="2160"/>
          </w:tcPr>
          <w:p>
            <w:r>
              <w:t>`{{APPENDIX_B_YOY}}`</w:t>
            </w:r>
          </w:p>
        </w:tc>
        <w:tc>
          <w:tcPr>
            <w:tcW w:type="dxa" w:w="2160"/>
          </w:tcPr>
          <w:p>
            <w:r>
              <w:t>Appendix B — YoY comparison</w:t>
            </w:r>
          </w:p>
        </w:tc>
        <w:tc>
          <w:tcPr>
            <w:tcW w:type="dxa" w:w="2160"/>
          </w:tcPr>
          <w:p>
            <w:r>
              <w:t>DuckDB weekly_metrics + LY data</w:t>
            </w:r>
          </w:p>
        </w:tc>
        <w:tc>
          <w:tcPr>
            <w:tcW w:type="dxa" w:w="2160"/>
          </w:tcPr>
          <w:p>
            <w:r>
              <w:t>Weekly</w:t>
            </w:r>
          </w:p>
        </w:tc>
      </w:tr>
      <w:tr>
        <w:tc>
          <w:tcPr>
            <w:tcW w:type="dxa" w:w="2160"/>
          </w:tcPr>
          <w:p>
            <w:r>
              <w:t>`{{APPENDIX_C_PROJECTION}}`</w:t>
            </w:r>
          </w:p>
        </w:tc>
        <w:tc>
          <w:tcPr>
            <w:tcW w:type="dxa" w:w="2160"/>
          </w:tcPr>
          <w:p>
            <w:r>
              <w:t>Appendix C — monthly projection</w:t>
            </w:r>
          </w:p>
        </w:tc>
        <w:tc>
          <w:tcPr>
            <w:tcW w:type="dxa" w:w="2160"/>
          </w:tcPr>
          <w:p>
            <w:r>
              <w:t>Analyst projection model</w:t>
            </w:r>
          </w:p>
        </w:tc>
        <w:tc>
          <w:tcPr>
            <w:tcW w:type="dxa" w:w="2160"/>
          </w:tcPr>
          <w:p>
            <w:r>
              <w:t>Weekly</w:t>
            </w:r>
          </w:p>
        </w:tc>
      </w:tr>
      <w:tr>
        <w:tc>
          <w:tcPr>
            <w:tcW w:type="dxa" w:w="2160"/>
          </w:tcPr>
          <w:p>
            <w:r>
              <w:t>`{{APPENDIX_D_SCENARIOS}}`</w:t>
            </w:r>
          </w:p>
        </w:tc>
        <w:tc>
          <w:tcPr>
            <w:tcW w:type="dxa" w:w="2160"/>
          </w:tcPr>
          <w:p>
            <w:r>
              <w:t>Appendix D — FY26 scenarios</w:t>
            </w:r>
          </w:p>
        </w:tc>
        <w:tc>
          <w:tcPr>
            <w:tcW w:type="dxa" w:w="2160"/>
          </w:tcPr>
          <w:p>
            <w:r>
              <w:t>FY26 projection model (static until reforecast)</w:t>
            </w:r>
          </w:p>
        </w:tc>
        <w:tc>
          <w:tcPr>
            <w:tcW w:type="dxa" w:w="2160"/>
          </w:tcPr>
          <w:p>
            <w:r>
              <w:t>Monthly</w:t>
            </w:r>
          </w:p>
        </w:tc>
      </w:tr>
      <w:tr>
        <w:tc>
          <w:tcPr>
            <w:tcW w:type="dxa" w:w="2160"/>
          </w:tcPr>
          <w:p>
            <w:r>
              <w:t>`{{APPENDIX_E_CHANGELOG}}`</w:t>
            </w:r>
          </w:p>
        </w:tc>
        <w:tc>
          <w:tcPr>
            <w:tcW w:type="dxa" w:w="2160"/>
          </w:tcPr>
          <w:p>
            <w:r>
              <w:t>Appendix E — change log</w:t>
            </w:r>
          </w:p>
        </w:tc>
        <w:tc>
          <w:tcPr>
            <w:tcW w:type="dxa" w:w="2160"/>
          </w:tcPr>
          <w:p>
            <w:r>
              <w:t>DuckDB change_log table</w:t>
            </w:r>
          </w:p>
        </w:tc>
        <w:tc>
          <w:tcPr>
            <w:tcW w:type="dxa" w:w="2160"/>
          </w:tcPr>
          <w:p>
            <w:r>
              <w:t>On change</w:t>
            </w:r>
          </w:p>
        </w:tc>
      </w:tr>
    </w:tbl>
    <w:p>
      <w:pPr>
        <w:pStyle w:val="Heading3"/>
      </w:pPr>
      <w:r>
        <w:t>JSON Output Contract</w:t>
      </w:r>
    </w:p>
    <w:p>
      <w:r>
        <w:t>The LLM generates a flat JSON object:</w:t>
      </w:r>
    </w:p>
    <w:p>
      <w:pPr/>
      <w:r>
        <w:rPr>
          <w:rFonts w:ascii="Courier New" w:hAnsi="Courier New"/>
          <w:sz w:val="18"/>
        </w:rPr>
        <w:t>{</w:t>
        <w:br/>
        <w:t xml:space="preserve">  "REPORTING_PERIOD": "Week 14 (Mar 29 – Apr 4, 2026)",</w:t>
        <w:br/>
        <w:t xml:space="preserve">  "SOTB_PARAGRAPH_1": "MX drove 340 registrations...",</w:t>
        <w:br/>
        <w:t xml:space="preserve">  "SOTB_INPUT_TABLE": "[markdown table string]",</w:t>
        <w:br/>
        <w:t xml:space="preserve">  "SOTB_OUTPUT_TABLE": "[markdown table string]",</w:t>
        <w:br/>
        <w:t xml:space="preserve">  "SOTB_ANALYSIS": "The W14 registration change was...",</w:t>
        <w:br/>
        <w:t xml:space="preserve">  "SOTB_YOY_NARRATIVE": "YoY performance...",</w:t>
        <w:br/>
        <w:t xml:space="preserve">  "SOTB_ANOMALY_FLAG": "No anomalies detected.",</w:t>
        <w:br/>
        <w:t xml:space="preserve">  "SOTB_NULL_CASE": "If no adjustments...",</w:t>
        <w:br/>
        <w:t xml:space="preserve">  "LESSONS_1": "First insight...",</w:t>
        <w:br/>
        <w:t xml:space="preserve">  "LESSONS_2": "Second insight...",</w:t>
        <w:br/>
        <w:t xml:space="preserve">  "LESSONS_3": "Third insight...",</w:t>
        <w:br/>
        <w:t xml:space="preserve">  "PRIORITIES_TABLE": "[markdown table string]",</w:t>
        <w:br/>
        <w:t xml:space="preserve">  "BLOCKED_ITEMS": "[markdown list]",</w:t>
        <w:br/>
        <w:t xml:space="preserve">  "STAKEHOLDER_ACTIONS": "[markdown list]"</w:t>
        <w:br/>
        <w:t>}</w:t>
      </w:r>
    </w:p>
    <w:p>
      <w:r>
        <w:t>The patching engine (converter.py → to_docx) converts the markdown strings to DOCX elements and injects them at the tagged locations. Static sections (Goals, Tenets, Appendix D scenarios) are NOT in the JSON — they persist unchanged in the template until manually revised.</w:t>
      </w:r>
    </w:p>
    <w:p>
      <w:pPr>
        <w:pStyle w:val="Heading3"/>
      </w:pPr>
      <w:r>
        <w:t>Quality Gates</w:t>
      </w:r>
    </w:p>
    <w:p>
      <w:r>
        <w:t>Quality gates (schema validation, math verification, weasel-word scan, style/content replication, page limit) defined in `state-file-engine.md`.</w:t>
      </w:r>
    </w:p>
    <w:p>
      <w:r>
        <w:t>---</w:t>
      </w:r>
    </w:p>
    <w:p>
      <w:r>
        <w:t>*This document is designed for daily automated refresh via the Kiro agent swarm. Sections marked with placeholder tags (e.g., {{State_Of_Business_Paragraph_1}}) in the DOCX template version are populated by the LLM output JSON and patched into the Word file via deterministic XML injection. The narrative sections above represent the current human-authored baseline that the agent will maintain and update as new weekly data arrives.*</w:t>
      </w:r>
    </w:p>
    <w:p>
      <w:r>
        <w:t>---</w:t>
      </w:r>
    </w:p>
    <w:p>
      <w:pPr>
        <w:pStyle w:val="Heading2"/>
      </w:pPr>
      <w:r>
        <w:t>Appendix G: Source Links</w:t>
      </w:r>
    </w:p>
    <w:p>
      <w:r>
        <w:t>All source documents referenced in or feeding this state file. Links open in browser.</w:t>
      </w:r>
    </w:p>
    <w:p>
      <w:pPr>
        <w:pStyle w:val="Heading3"/>
      </w:pPr>
      <w:r>
        <w:t>Kiro-Drive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ps-forecast-tracker.xlsx</w:t>
            </w:r>
          </w:p>
        </w:tc>
        <w:tc>
          <w:tcPr>
            <w:tcW w:type="dxa" w:w="2880"/>
          </w:tcPr>
          <w:p>
            <w:r>
              <w:t>WW PS forecast model, budget scenarios</w:t>
            </w:r>
          </w:p>
        </w:tc>
        <w:tc>
          <w:tcPr>
            <w:tcW w:type="dxa" w:w="2880"/>
          </w:tcPr>
          <w:p>
            <w:r>
              <w:t>[Open](https://amazon-my.sharepoint.com/personal/prichwil_amazon_com/Documents/Kiro-Drive/ps-forecast-tracker.xlsx?web=1)</w:t>
            </w:r>
          </w:p>
        </w:tc>
      </w:tr>
      <w:tr>
        <w:tc>
          <w:tcPr>
            <w:tcW w:type="dxa" w:w="2880"/>
          </w:tcPr>
          <w:p>
            <w:r>
              <w:t>ps-testing-dashboard.xlsx</w:t>
            </w:r>
          </w:p>
        </w:tc>
        <w:tc>
          <w:tcPr>
            <w:tcW w:type="dxa" w:w="2880"/>
          </w:tcPr>
          <w:p>
            <w:r>
              <w:t>Active test tracker across all markets</w:t>
            </w:r>
          </w:p>
        </w:tc>
        <w:tc>
          <w:tcPr>
            <w:tcW w:type="dxa" w:w="2880"/>
          </w:tcPr>
          <w:p>
            <w:r>
              <w:t>[Open](https://amazon-my.sharepoint.com/personal/prichwil_amazon_com/Documents/Kiro-Drive/ps-testing-dashboard.xlsx?web=1)</w:t>
            </w:r>
          </w:p>
        </w:tc>
      </w:tr>
      <w:tr>
        <w:tc>
          <w:tcPr>
            <w:tcW w:type="dxa" w:w="2880"/>
          </w:tcPr>
          <w:p>
            <w:r>
              <w:t>command-center.xlsx</w:t>
            </w:r>
          </w:p>
        </w:tc>
        <w:tc>
          <w:tcPr>
            <w:tcW w:type="dxa" w:w="2880"/>
          </w:tcPr>
          <w:p>
            <w:r>
              <w:t>Operational command center — tasks, status, owners</w:t>
            </w:r>
          </w:p>
        </w:tc>
        <w:tc>
          <w:tcPr>
            <w:tcW w:type="dxa" w:w="2880"/>
          </w:tcPr>
          <w:p>
            <w:r>
              <w:t>[Open](https://amazon-my.sharepoint.com/personal/prichwil_amazon_com/Documents/Kiro-Drive/command-center.xlsx?web=1)</w:t>
            </w:r>
          </w:p>
        </w:tc>
      </w:tr>
    </w:tbl>
    <w:p>
      <w:pPr>
        <w:pStyle w:val="Heading3"/>
      </w:pPr>
      <w:r>
        <w:t>Artifacts — MX Callouts &amp; Analysis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Period</w:t>
            </w:r>
          </w:p>
        </w:tc>
        <w:tc>
          <w:tcPr>
            <w:tcW w:type="dxa" w:w="2880"/>
          </w:tcPr>
          <w:p>
            <w:r>
              <w:t>Link</w:t>
            </w:r>
          </w:p>
        </w:tc>
      </w:tr>
      <w:tr>
        <w:tc>
          <w:tcPr>
            <w:tcW w:type="dxa" w:w="2880"/>
          </w:tcPr>
          <w:p>
            <w:r>
              <w:t>mx-2026-w14.docx</w:t>
            </w:r>
          </w:p>
        </w:tc>
        <w:tc>
          <w:tcPr>
            <w:tcW w:type="dxa" w:w="2880"/>
          </w:tcPr>
          <w:p>
            <w:r>
              <w:t>W14 callout</w:t>
            </w:r>
          </w:p>
        </w:tc>
        <w:tc>
          <w:tcPr>
            <w:tcW w:type="dxa" w:w="2880"/>
          </w:tcPr>
          <w:p>
            <w:r>
              <w:t>[Open](https://amazon-my.sharepoint.com/personal/prichwil_amazon_com/Documents/Artifacts/markets/abix/mx/mx-2026-w14.docx?web=1)</w:t>
            </w:r>
          </w:p>
        </w:tc>
      </w:tr>
      <w:tr>
        <w:tc>
          <w:tcPr>
            <w:tcW w:type="dxa" w:w="2880"/>
          </w:tcPr>
          <w:p>
            <w:r>
              <w:t>mx-2026-w13.docx</w:t>
            </w:r>
          </w:p>
        </w:tc>
        <w:tc>
          <w:tcPr>
            <w:tcW w:type="dxa" w:w="2880"/>
          </w:tcPr>
          <w:p>
            <w:r>
              <w:t>W13 callout</w:t>
            </w:r>
          </w:p>
        </w:tc>
        <w:tc>
          <w:tcPr>
            <w:tcW w:type="dxa" w:w="2880"/>
          </w:tcPr>
          <w:p>
            <w:r>
              <w:t>[Open](https://amazon-my.sharepoint.com/personal/prichwil_amazon_com/Documents/Artifacts/markets/abix/mx/mx-2026-w13.docx?web=1)</w:t>
            </w:r>
          </w:p>
        </w:tc>
      </w:tr>
      <w:tr>
        <w:tc>
          <w:tcPr>
            <w:tcW w:type="dxa" w:w="2880"/>
          </w:tcPr>
          <w:p>
            <w:r>
              <w:t>mx-2026-w12.docx</w:t>
            </w:r>
          </w:p>
        </w:tc>
        <w:tc>
          <w:tcPr>
            <w:tcW w:type="dxa" w:w="2880"/>
          </w:tcPr>
          <w:p>
            <w:r>
              <w:t>W12 callout</w:t>
            </w:r>
          </w:p>
        </w:tc>
        <w:tc>
          <w:tcPr>
            <w:tcW w:type="dxa" w:w="2880"/>
          </w:tcPr>
          <w:p>
            <w:r>
              <w:t>[Open](https://amazon-my.sharepoint.com/personal/prichwil_amazon_com/Documents/Artifacts/markets/abix/mx/mx-2026-w12.docx?web=1)</w:t>
            </w:r>
          </w:p>
        </w:tc>
      </w:tr>
      <w:tr>
        <w:tc>
          <w:tcPr>
            <w:tcW w:type="dxa" w:w="2880"/>
          </w:tcPr>
          <w:p>
            <w:r>
              <w:t>mx-2026-w11.docx</w:t>
            </w:r>
          </w:p>
        </w:tc>
        <w:tc>
          <w:tcPr>
            <w:tcW w:type="dxa" w:w="2880"/>
          </w:tcPr>
          <w:p>
            <w:r>
              <w:t>W11 callout</w:t>
            </w:r>
          </w:p>
        </w:tc>
        <w:tc>
          <w:tcPr>
            <w:tcW w:type="dxa" w:w="2880"/>
          </w:tcPr>
          <w:p>
            <w:r>
              <w:t>[Open](https://amazon-my.sharepoint.com/personal/prichwil_amazon_com/Documents/Artifacts/markets/abix/mx/mx-2026-w11.docx?web=1)</w:t>
            </w:r>
          </w:p>
        </w:tc>
      </w:tr>
      <w:tr>
        <w:tc>
          <w:tcPr>
            <w:tcW w:type="dxa" w:w="2880"/>
          </w:tcPr>
          <w:p>
            <w:r>
              <w:t>mx-analysis-2026-w13.docx</w:t>
            </w:r>
          </w:p>
        </w:tc>
        <w:tc>
          <w:tcPr>
            <w:tcW w:type="dxa" w:w="2880"/>
          </w:tcPr>
          <w:p>
            <w:r>
              <w:t>W13 deep analysis</w:t>
            </w:r>
          </w:p>
        </w:tc>
        <w:tc>
          <w:tcPr>
            <w:tcW w:type="dxa" w:w="2880"/>
          </w:tcPr>
          <w:p>
            <w:r>
              <w:t>[Open](https://amazon-my.sharepoint.com/personal/prichwil_amazon_com/Documents/Artifacts/markets/abix/mx/mx-analysis-2026-w13.docx?web=1)</w:t>
            </w:r>
          </w:p>
        </w:tc>
      </w:tr>
      <w:tr>
        <w:tc>
          <w:tcPr>
            <w:tcW w:type="dxa" w:w="2880"/>
          </w:tcPr>
          <w:p>
            <w:r>
              <w:t>mx-analysis-2026-w12.docx</w:t>
            </w:r>
          </w:p>
        </w:tc>
        <w:tc>
          <w:tcPr>
            <w:tcW w:type="dxa" w:w="2880"/>
          </w:tcPr>
          <w:p>
            <w:r>
              <w:t>W12 deep analysis</w:t>
            </w:r>
          </w:p>
        </w:tc>
        <w:tc>
          <w:tcPr>
            <w:tcW w:type="dxa" w:w="2880"/>
          </w:tcPr>
          <w:p>
            <w:r>
              <w:t>[Open](https://amazon-my.sharepoint.com/personal/prichwil_amazon_com/Documents/Artifacts/markets/abix/mx/mx-analysis-2026-w12.docx?web=1)</w:t>
            </w:r>
          </w:p>
        </w:tc>
      </w:tr>
      <w:tr>
        <w:tc>
          <w:tcPr>
            <w:tcW w:type="dxa" w:w="2880"/>
          </w:tcPr>
          <w:p>
            <w:r>
              <w:t>mx-data-brief-2026-w14.docx</w:t>
            </w:r>
          </w:p>
        </w:tc>
        <w:tc>
          <w:tcPr>
            <w:tcW w:type="dxa" w:w="2880"/>
          </w:tcPr>
          <w:p>
            <w:r>
              <w:t>W14 data brief</w:t>
            </w:r>
          </w:p>
        </w:tc>
        <w:tc>
          <w:tcPr>
            <w:tcW w:type="dxa" w:w="2880"/>
          </w:tcPr>
          <w:p>
            <w:r>
              <w:t>[Open](https://amazon-my.sharepoint.com/personal/prichwil_amazon_com/Documents/Artifacts/markets/abix/mx/mx-data-brief-2026-w14.docx?web=1)</w:t>
            </w:r>
          </w:p>
        </w:tc>
      </w:tr>
      <w:tr>
        <w:tc>
          <w:tcPr>
            <w:tcW w:type="dxa" w:w="2880"/>
          </w:tcPr>
          <w:p>
            <w:r>
              <w:t>mx-data-brief-2026-w13.docx</w:t>
            </w:r>
          </w:p>
        </w:tc>
        <w:tc>
          <w:tcPr>
            <w:tcW w:type="dxa" w:w="2880"/>
          </w:tcPr>
          <w:p>
            <w:r>
              <w:t>W13 data brief</w:t>
            </w:r>
          </w:p>
        </w:tc>
        <w:tc>
          <w:tcPr>
            <w:tcW w:type="dxa" w:w="2880"/>
          </w:tcPr>
          <w:p>
            <w:r>
              <w:t>[Open](https://amazon-my.sharepoint.com/personal/prichwil_amazon_com/Documents/Artifacts/markets/abix/mx/mx-data-brief-2026-w13.docx?web=1)</w:t>
            </w:r>
          </w:p>
        </w:tc>
      </w:tr>
      <w:tr>
        <w:tc>
          <w:tcPr>
            <w:tcW w:type="dxa" w:w="2880"/>
          </w:tcPr>
          <w:p>
            <w:r>
              <w:t>mx-data-brief-2026-w12.docx</w:t>
            </w:r>
          </w:p>
        </w:tc>
        <w:tc>
          <w:tcPr>
            <w:tcW w:type="dxa" w:w="2880"/>
          </w:tcPr>
          <w:p>
            <w:r>
              <w:t>W12 data brief</w:t>
            </w:r>
          </w:p>
        </w:tc>
        <w:tc>
          <w:tcPr>
            <w:tcW w:type="dxa" w:w="2880"/>
          </w:tcPr>
          <w:p>
            <w:r>
              <w:t>[Open](https://amazon-my.sharepoint.com/personal/prichwil_amazon_com/Documents/Artifacts/markets/abix/mx/mx-data-brief-2026-w12.docx?web=1)</w:t>
            </w:r>
          </w:p>
        </w:tc>
      </w:tr>
      <w:tr>
        <w:tc>
          <w:tcPr>
            <w:tcW w:type="dxa" w:w="2880"/>
          </w:tcPr>
          <w:p>
            <w:r>
              <w:t>mx-change-log.docx</w:t>
            </w:r>
          </w:p>
        </w:tc>
        <w:tc>
          <w:tcPr>
            <w:tcW w:type="dxa" w:w="2880"/>
          </w:tcPr>
          <w:p>
            <w:r>
              <w:t>2026 YTD change log</w:t>
            </w:r>
          </w:p>
        </w:tc>
        <w:tc>
          <w:tcPr>
            <w:tcW w:type="dxa" w:w="2880"/>
          </w:tcPr>
          <w:p>
            <w:r>
              <w:t>[Open](https://amazon-my.sharepoint.com/personal/prichwil_amazon_com/Documents/Artifacts/markets/abix/mx/mx-change-log.docx?web=1)</w:t>
            </w:r>
          </w:p>
        </w:tc>
      </w:tr>
      <w:tr>
        <w:tc>
          <w:tcPr>
            <w:tcW w:type="dxa" w:w="2880"/>
          </w:tcPr>
          <w:p>
            <w:r>
              <w:t>mx-context.docx</w:t>
            </w:r>
          </w:p>
        </w:tc>
        <w:tc>
          <w:tcPr>
            <w:tcW w:type="dxa" w:w="2880"/>
          </w:tcPr>
          <w:p>
            <w:r>
              <w:t>MX market context doc</w:t>
            </w:r>
          </w:p>
        </w:tc>
        <w:tc>
          <w:tcPr>
            <w:tcW w:type="dxa" w:w="2880"/>
          </w:tcPr>
          <w:p>
            <w:r>
              <w:t>[Open](https://amazon-my.sharepoint.com/personal/prichwil_amazon_com/Documents/Artifacts/markets/abix/mx/mx-context.docx?web=1)</w:t>
            </w:r>
          </w:p>
        </w:tc>
      </w:tr>
      <w:tr>
        <w:tc>
          <w:tcPr>
            <w:tcW w:type="dxa" w:w="2880"/>
          </w:tcPr>
          <w:p>
            <w:r>
              <w:t>mx-projections.docx</w:t>
            </w:r>
          </w:p>
        </w:tc>
        <w:tc>
          <w:tcPr>
            <w:tcW w:type="dxa" w:w="2880"/>
          </w:tcPr>
          <w:p>
            <w:r>
              <w:t>Monthly projections tracker</w:t>
            </w:r>
          </w:p>
        </w:tc>
        <w:tc>
          <w:tcPr>
            <w:tcW w:type="dxa" w:w="2880"/>
          </w:tcPr>
          <w:p>
            <w:r>
              <w:t>[Open](https://amazon-my.sharepoint.com/personal/prichwil_amazon_com/Documents/Artifacts/markets/abix/mx/mx-projections.docx?web=1)</w:t>
            </w:r>
          </w:p>
        </w:tc>
      </w:tr>
      <w:tr>
        <w:tc>
          <w:tcPr>
            <w:tcW w:type="dxa" w:w="2880"/>
          </w:tcPr>
          <w:p>
            <w:r>
              <w:t>mx-fy26-projection.docx</w:t>
            </w:r>
          </w:p>
        </w:tc>
        <w:tc>
          <w:tcPr>
            <w:tcW w:type="dxa" w:w="2880"/>
          </w:tcPr>
          <w:p>
            <w:r>
              <w:t>FY26 annual projection (2 scenarios)</w:t>
            </w:r>
          </w:p>
        </w:tc>
        <w:tc>
          <w:tcPr>
            <w:tcW w:type="dxa" w:w="2880"/>
          </w:tcPr>
          <w:p>
            <w:r>
              <w:t>[Open](https://amazon-my.sharepoint.com/personal/prichwil_amazon_com/Documents/Artifacts/markets/abix/mx/mx-fy26-projection.docx?web=1)</w:t>
            </w:r>
          </w:p>
        </w:tc>
      </w:tr>
    </w:tbl>
    <w:p>
      <w:pPr>
        <w:pStyle w:val="Heading3"/>
      </w:pPr>
      <w:r>
        <w:t>Artifacts — WW / Cross-Market (OneDrive)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ww-review-2026-w13.docx</w:t>
            </w:r>
          </w:p>
        </w:tc>
        <w:tc>
          <w:tcPr>
            <w:tcW w:type="dxa" w:w="2880"/>
          </w:tcPr>
          <w:p>
            <w:r>
              <w:t>WW weekly review (includes MX)</w:t>
            </w:r>
          </w:p>
        </w:tc>
        <w:tc>
          <w:tcPr>
            <w:tcW w:type="dxa" w:w="2880"/>
          </w:tcPr>
          <w:p>
            <w:r>
              <w:t>[Open](https://amazon-my.sharepoint.com/personal/prichwil_amazon_com/Documents/Artifacts/markets/ww/ww-review-2026-w13.docx?web=1)</w:t>
            </w:r>
          </w:p>
        </w:tc>
      </w:tr>
      <w:tr>
        <w:tc>
          <w:tcPr>
            <w:tcW w:type="dxa" w:w="2880"/>
          </w:tcPr>
          <w:p>
            <w:r>
              <w:t>ww-summary-2026-w14.docx</w:t>
            </w:r>
          </w:p>
        </w:tc>
        <w:tc>
          <w:tcPr>
            <w:tcW w:type="dxa" w:w="2880"/>
          </w:tcPr>
          <w:p>
            <w:r>
              <w:t>WW summary W14</w:t>
            </w:r>
          </w:p>
        </w:tc>
        <w:tc>
          <w:tcPr>
            <w:tcW w:type="dxa" w:w="2880"/>
          </w:tcPr>
          <w:p>
            <w:r>
              <w:t>[Open](https://amazon-my.sharepoint.com/personal/prichwil_amazon_com/Documents/Artifacts/markets/ww/ww-summary-2026-w14.docx?web=1)</w:t>
            </w:r>
          </w:p>
        </w:tc>
      </w:tr>
      <w:tr>
        <w:tc>
          <w:tcPr>
            <w:tcW w:type="dxa" w:w="2880"/>
          </w:tcPr>
          <w:p>
            <w:r>
              <w:t>wbr-w14-callouts.docx</w:t>
            </w:r>
          </w:p>
        </w:tc>
        <w:tc>
          <w:tcPr>
            <w:tcW w:type="dxa" w:w="2880"/>
          </w:tcPr>
          <w:p>
            <w:r>
              <w:t>WBR callouts all markets W14</w:t>
            </w:r>
          </w:p>
        </w:tc>
        <w:tc>
          <w:tcPr>
            <w:tcW w:type="dxa" w:w="2880"/>
          </w:tcPr>
          <w:p>
            <w:r>
              <w:t>[Open](https://amazon-my.sharepoint.com/personal/prichwil_amazon_com/Documents/Artifacts/markets/ww/wbr-w14-callouts.docx?web=1)</w:t>
            </w:r>
          </w:p>
        </w:tc>
      </w:tr>
      <w:tr>
        <w:tc>
          <w:tcPr>
            <w:tcW w:type="dxa" w:w="2880"/>
          </w:tcPr>
          <w:p>
            <w:r>
              <w:t>projections-ww.docx</w:t>
            </w:r>
          </w:p>
        </w:tc>
        <w:tc>
          <w:tcPr>
            <w:tcW w:type="dxa" w:w="2880"/>
          </w:tcPr>
          <w:p>
            <w:r>
              <w:t>WW projections</w:t>
            </w:r>
          </w:p>
        </w:tc>
        <w:tc>
          <w:tcPr>
            <w:tcW w:type="dxa" w:w="2880"/>
          </w:tcPr>
          <w:p>
            <w:r>
              <w:t>[Open](https://amazon-my.sharepoint.com/personal/prichwil_amazon_com/Documents/Artifacts/markets/ww/projections-ww.docx?web=1)</w:t>
            </w:r>
          </w:p>
        </w:tc>
      </w:tr>
      <w:tr>
        <w:tc>
          <w:tcPr>
            <w:tcW w:type="dxa" w:w="2880"/>
          </w:tcPr>
          <w:p>
            <w:r>
              <w:t>testing-approach-kate-v5.docx</w:t>
            </w:r>
          </w:p>
        </w:tc>
        <w:tc>
          <w:tcPr>
            <w:tcW w:type="dxa" w:w="2880"/>
          </w:tcPr>
          <w:p>
            <w:r>
              <w:t>Testing Approach doc (Kate review)</w:t>
            </w:r>
          </w:p>
        </w:tc>
        <w:tc>
          <w:tcPr>
            <w:tcW w:type="dxa" w:w="2880"/>
          </w:tcPr>
          <w:p>
            <w:r>
              <w:t>[Open](https://amazon-my.sharepoint.com/personal/prichwil_amazon_com/Documents/Artifacts/testing/testing-approach-kate-v5.docx?web=1)</w:t>
            </w:r>
          </w:p>
        </w:tc>
      </w:tr>
      <w:tr>
        <w:tc>
          <w:tcPr>
            <w:tcW w:type="dxa" w:w="2880"/>
          </w:tcPr>
          <w:p>
            <w:r>
              <w:t>oci-rollout-playbook.docx</w:t>
            </w:r>
          </w:p>
        </w:tc>
        <w:tc>
          <w:tcPr>
            <w:tcW w:type="dxa" w:w="2880"/>
          </w:tcPr>
          <w:p>
            <w:r>
              <w:t>OCI rollout playbook (MX not started)</w:t>
            </w:r>
          </w:p>
        </w:tc>
        <w:tc>
          <w:tcPr>
            <w:tcW w:type="dxa" w:w="2880"/>
          </w:tcPr>
          <w:p>
            <w:r>
              <w:t>[Open](https://amazon-my.sharepoint.com/personal/prichwil_amazon_com/Documents/Artifacts/testing/oci-rollout-playbook.docx?web=1)</w:t>
            </w:r>
          </w:p>
        </w:tc>
      </w:tr>
    </w:tbl>
    <w:p>
      <w:pPr>
        <w:pStyle w:val="Heading3"/>
      </w:pPr>
      <w:r>
        <w:t>Quip Documents</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AB MX Paid Search Sync</w:t>
            </w:r>
          </w:p>
        </w:tc>
        <w:tc>
          <w:tcPr>
            <w:tcW w:type="dxa" w:w="2880"/>
          </w:tcPr>
          <w:p>
            <w:r>
              <w:t>Weekly performance tracker since WK11 2024</w:t>
            </w:r>
          </w:p>
        </w:tc>
        <w:tc>
          <w:tcPr>
            <w:tcW w:type="dxa" w:w="2880"/>
          </w:tcPr>
          <w:p>
            <w:r>
              <w:t>[Open](https://quip-amazon.com/K9OYA9mXm7DU)</w:t>
            </w:r>
          </w:p>
        </w:tc>
      </w:tr>
      <w:tr>
        <w:tc>
          <w:tcPr>
            <w:tcW w:type="dxa" w:w="2880"/>
          </w:tcPr>
          <w:p>
            <w:r>
              <w:t>MX Keyword Cleanup Framework</w:t>
            </w:r>
          </w:p>
        </w:tc>
        <w:tc>
          <w:tcPr>
            <w:tcW w:type="dxa" w:w="2880"/>
          </w:tcPr>
          <w:p>
            <w:r>
              <w:t>Audit thresholds and cleanup rules</w:t>
            </w:r>
          </w:p>
        </w:tc>
        <w:tc>
          <w:tcPr>
            <w:tcW w:type="dxa" w:w="2880"/>
          </w:tcPr>
          <w:p>
            <w:r>
              <w:t>[Open](https://quip-amazon.com/EZZ9AAR7EEz)</w:t>
            </w:r>
          </w:p>
        </w:tc>
      </w:tr>
      <w:tr>
        <w:tc>
          <w:tcPr>
            <w:tcW w:type="dxa" w:w="2880"/>
          </w:tcPr>
          <w:p>
            <w:r>
              <w:t>MX Transition</w:t>
            </w:r>
          </w:p>
        </w:tc>
        <w:tc>
          <w:tcPr>
            <w:tcW w:type="dxa" w:w="2880"/>
          </w:tcPr>
          <w:p>
            <w:r>
              <w:t>POCs, campaign structure, reporting conventions</w:t>
            </w:r>
          </w:p>
        </w:tc>
        <w:tc>
          <w:tcPr>
            <w:tcW w:type="dxa" w:w="2880"/>
          </w:tcPr>
          <w:p>
            <w:r>
              <w:t>[Open](https://quip-amazon.com/GCX9AAbP5Rh)</w:t>
            </w:r>
          </w:p>
        </w:tc>
      </w:tr>
      <w:tr>
        <w:tc>
          <w:tcPr>
            <w:tcW w:type="dxa" w:w="2880"/>
          </w:tcPr>
          <w:p>
            <w:r>
              <w:t>Pre-WBR Callouts</w:t>
            </w:r>
          </w:p>
        </w:tc>
        <w:tc>
          <w:tcPr>
            <w:tcW w:type="dxa" w:w="2880"/>
          </w:tcPr>
          <w:p>
            <w:r>
              <w:t>WBR callout working doc</w:t>
            </w:r>
          </w:p>
        </w:tc>
        <w:tc>
          <w:tcPr>
            <w:tcW w:type="dxa" w:w="2880"/>
          </w:tcPr>
          <w:p>
            <w:r>
              <w:t>[Open](https://quip-amazon.com/MMgBAzDrlVou)</w:t>
            </w:r>
          </w:p>
        </w:tc>
      </w:tr>
    </w:tbl>
    <w:p>
      <w:pPr>
        <w:pStyle w:val="Heading3"/>
      </w:pPr>
      <w:r>
        <w:t>Kiro-Drive — System State</w:t>
      </w:r>
    </w:p>
    <w:tbl>
      <w:tblPr>
        <w:tblStyle w:val="TableGrid"/>
        <w:tblW w:type="auto" w:w="0"/>
        <w:tblLook w:firstColumn="1" w:firstRow="1" w:lastColumn="0" w:lastRow="0" w:noHBand="0" w:noVBand="1" w:val="04A0"/>
      </w:tblPr>
      <w:tblGrid>
        <w:gridCol w:w="2880"/>
        <w:gridCol w:w="2880"/>
        <w:gridCol w:w="2880"/>
      </w:tblGrid>
      <w:tr>
        <w:tc>
          <w:tcPr>
            <w:tcW w:type="dxa" w:w="2880"/>
          </w:tcPr>
          <w:p>
            <w:r>
              <w:t>Document</w:t>
            </w:r>
          </w:p>
        </w:tc>
        <w:tc>
          <w:tcPr>
            <w:tcW w:type="dxa" w:w="2880"/>
          </w:tcPr>
          <w:p>
            <w:r>
              <w:t>Purpose</w:t>
            </w:r>
          </w:p>
        </w:tc>
        <w:tc>
          <w:tcPr>
            <w:tcW w:type="dxa" w:w="2880"/>
          </w:tcPr>
          <w:p>
            <w:r>
              <w:t>Link</w:t>
            </w:r>
          </w:p>
        </w:tc>
      </w:tr>
      <w:tr>
        <w:tc>
          <w:tcPr>
            <w:tcW w:type="dxa" w:w="2880"/>
          </w:tcPr>
          <w:p>
            <w:r>
              <w:t>rw-tracker.md</w:t>
            </w:r>
          </w:p>
        </w:tc>
        <w:tc>
          <w:tcPr>
            <w:tcW w:type="dxa" w:w="2880"/>
          </w:tcPr>
          <w:p>
            <w:r>
              <w:t>Weekly scorecard, 30-day challenge</w:t>
            </w:r>
          </w:p>
        </w:tc>
        <w:tc>
          <w:tcPr>
            <w:tcW w:type="dxa" w:w="2880"/>
          </w:tcPr>
          <w:p>
            <w:r>
              <w:t>[Open](https://amazon-my.sharepoint.com/personal/prichwil_amazon_com/Documents/Kiro-Drive/system-state/rw-tracker.md?web=1)</w:t>
            </w:r>
          </w:p>
        </w:tc>
      </w:tr>
      <w:tr>
        <w:tc>
          <w:tcPr>
            <w:tcW w:type="dxa" w:w="2880"/>
          </w:tcPr>
          <w:p>
            <w:r>
              <w:t>body-snapshot-2026-04-12.md</w:t>
            </w:r>
          </w:p>
        </w:tc>
        <w:tc>
          <w:tcPr>
            <w:tcW w:type="dxa" w:w="2880"/>
          </w:tcPr>
          <w:p>
            <w:r>
              <w:t>Portable body snapshot</w:t>
            </w:r>
          </w:p>
        </w:tc>
        <w:tc>
          <w:tcPr>
            <w:tcW w:type="dxa" w:w="2880"/>
          </w:tcPr>
          <w:p>
            <w:r>
              <w:t>[Open](https://amazon-my.sharepoint.com/personal/prichwil_amazon_com/Documents/Kiro-Drive/portable-body/body-snapshot-2026-04-12.md?web=1)</w:t>
            </w:r>
          </w:p>
        </w:tc>
      </w:tr>
    </w:tbl>
    <w:p>
      <w:r>
        <w:t>---</w:t>
      </w:r>
    </w:p>
    <w:p>
      <w:r>
        <w:t>*This document is designed for daily automated refresh via the Kiro agent swarm. Sections marked with placeholder tags (e.g., {{State_Of_Business_Paragraph_1}}) in the DOCX template version are populated by the LLM output JSON and patched into the Word file via deterministic XML injection. The narrative sections above represent the current human-authored baseline that the agent will maintain and update as new weekly data arrives.*</w:t>
      </w:r>
    </w:p>
    <w:p>
      <w:r>
        <w:t>*Template location: OneDrive Kiro-Drive/state-files/mx-paid-search-state.md*</w:t>
      </w:r>
    </w:p>
    <w:p>
      <w:r>
        <w:t>*DOCX template (future): OneDrive Kiro-Drive/state-files/templates/mx-paid-search-template.docx*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