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MX Paid Search — Daily State File</w:t>
      </w:r>
    </w:p>
    <w:p>
      <w:r>
        <w:t>&lt;!-- DOC-0401 | duck_id: state-file-mx-ps --&gt;</w:t>
      </w:r>
    </w:p>
    <w:p>
      <w:pPr>
        <w:pStyle w:val="Heading1"/>
      </w:pPr>
      <w:r>
        <w:t>Mexico Paid Search — State of the Business</w:t>
      </w:r>
    </w:p>
    <w:p>
      <w:r>
        <w:t>**Reporting period:** Week 14 (Mar 29–Apr 5, 2026) · **Market owner:** Richard Williams · **Primary stakeholder:** Lorena Alvarez Larrea (L5) · **Support:** Yun-Kang Chu (L6)</w:t>
      </w:r>
    </w:p>
    <w:p>
      <w:r>
        <w:t>**Data through:** MX W14 actuals; AU W14 actuals; WW W14 actuals.</w:t>
      </w:r>
    </w:p>
    <w:p>
      <w:r>
        <w:t>---</w:t>
      </w:r>
    </w:p>
    <w:p>
      <w:pPr>
        <w:pStyle w:val="Heading2"/>
      </w:pPr>
      <w:r>
        <w:t>Introduction</w:t>
      </w:r>
    </w:p>
    <w:p>
      <w:r>
        <w:t>This document provides the trailing-week operational state of the Amazon Business Mexico Paid Search program. MX is Richard Williams's hands-on market, managed through Google Ads on the NA MCC (683-476-0964) under the DSAP parent MCC (873-788-1095). The program operates under an ie%CCP constraint model where Brand registrations at $21 CPA generate surplus Customer Cost to Pay that funds Non-Brand acquisition at higher CPAs. AB Finance assumed MX funding responsibility in March 2026. Lorena Alvarez Larrea replaced Carlos Palmos as the primary MX PS stakeholder on March 17, 2026. Keyword-level registration data is unavailable until Q3 2026; all Non-Brand performance analysis is directional.</w:t>
      </w:r>
    </w:p>
    <w:p>
      <w:pPr>
        <w:pStyle w:val="Heading2"/>
      </w:pPr>
      <w:r>
        <w:t>Goals</w:t>
      </w:r>
    </w:p>
    <w:p>
      <w:pPr>
        <w:pStyle w:val="ListNumber"/>
      </w:pPr>
      <w:r>
        <w:t>Achieve a blended CPA at or below $66 for FY26 (OP2 target), while maximizing registration volume within the ie%CCP constraint.</w:t>
      </w:r>
    </w:p>
    <w:p>
      <w:pPr>
        <w:pStyle w:val="ListNumber"/>
      </w:pPr>
      <w:r>
        <w:t>Maintain ie%CCP at or above 100% from Q2 2026 onward (Q1 operated at 77–99% as Brand surplus built).</w:t>
      </w:r>
    </w:p>
    <w:p>
      <w:pPr>
        <w:pStyle w:val="ListNumber"/>
      </w:pPr>
      <w:r>
        <w:t>Deliver 11,178 total registrations for FY26 against the OP2 plan ($542K spend), with upside scenarios projecting 13,948–15,051 registrations at $745K–$959K spend.</w:t>
      </w:r>
    </w:p>
    <w:p>
      <w:pPr>
        <w:pStyle w:val="ListNumber"/>
      </w:pPr>
      <w:r>
        <w:t>Complete the Polaris Brand landing page migration for MX per Brandon's priority order (AU &gt; MX &gt; DE &gt; UK &gt; JP &gt; FR &gt; IT &gt; ES &gt; CA &gt; US-ES).</w:t>
      </w:r>
    </w:p>
    <w:p>
      <w:pPr>
        <w:pStyle w:val="ListNumber"/>
      </w:pPr>
      <w:r>
        <w:t>Resolve the automotive landing page ref tag overwrite issue that breaks paid search attribution.</w:t>
      </w:r>
    </w:p>
    <w:p>
      <w:pPr>
        <w:pStyle w:val="Heading2"/>
      </w:pPr>
      <w:r>
        <w:t>Tenets</w:t>
      </w:r>
    </w:p>
    <w:p>
      <w:pPr>
        <w:pStyle w:val="ListNumber"/>
      </w:pPr>
      <w:r>
        <w:t>**ie%CCP governs spend, not budget.** Non-Brand spend expands only when Brand CCP surplus permits. The constraint is mathematical, not discretionary.</w:t>
      </w:r>
    </w:p>
    <w:p>
      <w:pPr>
        <w:pStyle w:val="ListNumber"/>
      </w:pPr>
      <w:r>
        <w:t>**Efficiency over escalation.** When NB CPC rises, respond with bid strategy refinement and negative keyword routing — not budget increases.</w:t>
      </w:r>
    </w:p>
    <w:p>
      <w:pPr>
        <w:pStyle w:val="ListNumber"/>
      </w:pPr>
      <w:r>
        <w:t>**Evidence before scale.** No campaign structure change, keyword expansion, or landing page variant ships to full traffic without a measurement period.</w:t>
      </w:r>
    </w:p>
    <w:p>
      <w:pPr>
        <w:pStyle w:val="ListNumber"/>
      </w:pPr>
      <w:r>
        <w:t>**Stakeholder responsiveness builds trust.** Lorena is a new relationship. Timely, thorough responses to her requests compound into strategic partnership.</w:t>
      </w:r>
    </w:p>
    <w:p>
      <w:r>
        <w:t>---</w:t>
      </w:r>
    </w:p>
    <w:p>
      <w:pPr>
        <w:pStyle w:val="Heading2"/>
      </w:pPr>
      <w:r>
        <w:t>State of the Business</w:t>
      </w:r>
    </w:p>
    <w:p>
      <w:r>
        <w:t>MX drove 238 registrations in W14 (-33% WoW) on $19K spend (-16% WoW), producing a blended CPA of $82 (+24% WoW). ie%CCP rose to 126%, breaching the 100% target for the first time in Q1. March closed at $96K spend and 1,483 registrations at $64 CPA — 73% above OP2 on registrations and $2 below the OP2 CPA target of $66. The W14 decline is the sharpest single-week drop since the program's inception, driven entirely by CVR collapse (-28% WoW) rather than traffic loss (clicks -6% WoW).</w:t>
      </w:r>
    </w:p>
    <w:p>
      <w:r>
        <w:t>**Input metrics (controllable levers):**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Input Metric</w:t>
            </w:r>
          </w:p>
        </w:tc>
        <w:tc>
          <w:tcPr>
            <w:tcW w:type="dxa" w:w="2160"/>
          </w:tcPr>
          <w:p>
            <w:r>
              <w:t>W14 Value</w:t>
            </w:r>
          </w:p>
        </w:tc>
        <w:tc>
          <w:tcPr>
            <w:tcW w:type="dxa" w:w="2160"/>
          </w:tcPr>
          <w:p>
            <w:r>
              <w:t>WoW Δ</w:t>
            </w:r>
          </w:p>
        </w:tc>
        <w:tc>
          <w:tcPr>
            <w:tcW w:type="dxa" w:w="2160"/>
          </w:tcPr>
          <w:p>
            <w:r>
              <w:t>Trend</w:t>
            </w:r>
          </w:p>
        </w:tc>
      </w:tr>
      <w:tr>
        <w:tc>
          <w:tcPr>
            <w:tcW w:type="dxa" w:w="2160"/>
          </w:tcPr>
          <w:p>
            <w:r>
              <w:t>Total spend</w:t>
            </w:r>
          </w:p>
        </w:tc>
        <w:tc>
          <w:tcPr>
            <w:tcW w:type="dxa" w:w="2160"/>
          </w:tcPr>
          <w:p>
            <w:r>
              <w:t>$19,418</w:t>
            </w:r>
          </w:p>
        </w:tc>
        <w:tc>
          <w:tcPr>
            <w:tcW w:type="dxa" w:w="2160"/>
          </w:tcPr>
          <w:p>
            <w:r>
              <w:t>-16%</w:t>
            </w:r>
          </w:p>
        </w:tc>
        <w:tc>
          <w:tcPr>
            <w:tcW w:type="dxa" w:w="2160"/>
          </w:tcPr>
          <w:p>
            <w:r>
              <w:t>Declined from W13's dataset-high $23K</w:t>
            </w:r>
          </w:p>
        </w:tc>
      </w:tr>
      <w:tr>
        <w:tc>
          <w:tcPr>
            <w:tcW w:type="dxa" w:w="2160"/>
          </w:tcPr>
          <w:p>
            <w:r>
              <w:t>Brand clicks</w:t>
            </w:r>
          </w:p>
        </w:tc>
        <w:tc>
          <w:tcPr>
            <w:tcW w:type="dxa" w:w="2160"/>
          </w:tcPr>
          <w:p>
            <w:r>
              <w:t>3,132</w:t>
            </w:r>
          </w:p>
        </w:tc>
        <w:tc>
          <w:tcPr>
            <w:tcW w:type="dxa" w:w="2160"/>
          </w:tcPr>
          <w:p>
            <w:r>
              <w:t>-15%</w:t>
            </w:r>
          </w:p>
        </w:tc>
        <w:tc>
          <w:tcPr>
            <w:tcW w:type="dxa" w:w="2160"/>
          </w:tcPr>
          <w:p>
            <w:r>
              <w:t>First material Brand click decline in 4 weeks</w:t>
            </w:r>
          </w:p>
        </w:tc>
      </w:tr>
      <w:tr>
        <w:tc>
          <w:tcPr>
            <w:tcW w:type="dxa" w:w="2160"/>
          </w:tcPr>
          <w:p>
            <w:r>
              <w:t>NB clicks</w:t>
            </w:r>
          </w:p>
        </w:tc>
        <w:tc>
          <w:tcPr>
            <w:tcW w:type="dxa" w:w="2160"/>
          </w:tcPr>
          <w:p>
            <w:r>
              <w:t>9,349</w:t>
            </w:r>
          </w:p>
        </w:tc>
        <w:tc>
          <w:tcPr>
            <w:tcW w:type="dxa" w:w="2160"/>
          </w:tcPr>
          <w:p>
            <w:r>
              <w:t>-3%</w:t>
            </w:r>
          </w:p>
        </w:tc>
        <w:tc>
          <w:tcPr>
            <w:tcW w:type="dxa" w:w="2160"/>
          </w:tcPr>
          <w:p>
            <w:r>
              <w:t>Essentially flat; traffic not the issue</w:t>
            </w:r>
          </w:p>
        </w:tc>
      </w:tr>
      <w:tr>
        <w:tc>
          <w:tcPr>
            <w:tcW w:type="dxa" w:w="2160"/>
          </w:tcPr>
          <w:p>
            <w:r>
              <w:t>NB CPC</w:t>
            </w:r>
          </w:p>
        </w:tc>
        <w:tc>
          <w:tcPr>
            <w:tcW w:type="dxa" w:w="2160"/>
          </w:tcPr>
          <w:p>
            <w:r>
              <w:t>$1.72</w:t>
            </w:r>
          </w:p>
        </w:tc>
        <w:tc>
          <w:tcPr>
            <w:tcW w:type="dxa" w:w="2160"/>
          </w:tcPr>
          <w:p>
            <w:r>
              <w:t>-12%</w:t>
            </w:r>
          </w:p>
        </w:tc>
        <w:tc>
          <w:tcPr>
            <w:tcW w:type="dxa" w:w="2160"/>
          </w:tcPr>
          <w:p>
            <w:r>
              <w:t>Reversed the 5-week upward trend</w:t>
            </w:r>
          </w:p>
        </w:tc>
      </w:tr>
      <w:tr>
        <w:tc>
          <w:tcPr>
            <w:tcW w:type="dxa" w:w="2160"/>
          </w:tcPr>
          <w:p>
            <w:r>
              <w:t>Negative keywords</w:t>
            </w:r>
          </w:p>
        </w:tc>
        <w:tc>
          <w:tcPr>
            <w:tcW w:type="dxa" w:w="2160"/>
          </w:tcPr>
          <w:p>
            <w:r>
              <w:t>Active</w:t>
            </w:r>
          </w:p>
        </w:tc>
        <w:tc>
          <w:tcPr>
            <w:tcW w:type="dxa" w:w="2160"/>
          </w:tcPr>
          <w:p>
            <w:r>
              <w:t>—</w:t>
            </w:r>
          </w:p>
        </w:tc>
        <w:tc>
          <w:tcPr>
            <w:tcW w:type="dxa" w:w="2160"/>
          </w:tcPr>
          <w:p>
            <w:r>
              <w:t>W11 restructuring holding but CVR gains erased</w:t>
            </w:r>
          </w:p>
        </w:tc>
      </w:tr>
    </w:tbl>
    <w:p>
      <w:r>
        <w:t>**Output metrics (lagging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Output Metric</w:t>
            </w:r>
          </w:p>
        </w:tc>
        <w:tc>
          <w:tcPr>
            <w:tcW w:type="dxa" w:w="2160"/>
          </w:tcPr>
          <w:p>
            <w:r>
              <w:t>W14 Value</w:t>
            </w:r>
          </w:p>
        </w:tc>
        <w:tc>
          <w:tcPr>
            <w:tcW w:type="dxa" w:w="2160"/>
          </w:tcPr>
          <w:p>
            <w:r>
              <w:t>WoW Δ</w:t>
            </w:r>
          </w:p>
        </w:tc>
        <w:tc>
          <w:tcPr>
            <w:tcW w:type="dxa" w:w="2160"/>
          </w:tcPr>
          <w:p>
            <w:r>
              <w:t>YoY Δ</w:t>
            </w:r>
          </w:p>
        </w:tc>
      </w:tr>
      <w:tr>
        <w:tc>
          <w:tcPr>
            <w:tcW w:type="dxa" w:w="2160"/>
          </w:tcPr>
          <w:p>
            <w:r>
              <w:t>Total registrations</w:t>
            </w:r>
          </w:p>
        </w:tc>
        <w:tc>
          <w:tcPr>
            <w:tcW w:type="dxa" w:w="2160"/>
          </w:tcPr>
          <w:p>
            <w:r>
              <w:t>238</w:t>
            </w:r>
          </w:p>
        </w:tc>
        <w:tc>
          <w:tcPr>
            <w:tcW w:type="dxa" w:w="2160"/>
          </w:tcPr>
          <w:p>
            <w:r>
              <w:t>-33%</w:t>
            </w:r>
          </w:p>
        </w:tc>
        <w:tc>
          <w:tcPr>
            <w:tcW w:type="dxa" w:w="2160"/>
          </w:tcPr>
          <w:p>
            <w:r>
              <w:t>+24%</w:t>
            </w:r>
          </w:p>
        </w:tc>
      </w:tr>
      <w:tr>
        <w:tc>
          <w:tcPr>
            <w:tcW w:type="dxa" w:w="2160"/>
          </w:tcPr>
          <w:p>
            <w:r>
              <w:t>Brand registrations</w:t>
            </w:r>
          </w:p>
        </w:tc>
        <w:tc>
          <w:tcPr>
            <w:tcW w:type="dxa" w:w="2160"/>
          </w:tcPr>
          <w:p>
            <w:r>
              <w:t>137</w:t>
            </w:r>
          </w:p>
        </w:tc>
        <w:tc>
          <w:tcPr>
            <w:tcW w:type="dxa" w:w="2160"/>
          </w:tcPr>
          <w:p>
            <w:r>
              <w:t>-36%</w:t>
            </w:r>
          </w:p>
        </w:tc>
        <w:tc>
          <w:tcPr>
            <w:tcW w:type="dxa" w:w="2160"/>
          </w:tcPr>
          <w:p>
            <w:r>
              <w:t>+65%</w:t>
            </w:r>
          </w:p>
        </w:tc>
      </w:tr>
      <w:tr>
        <w:tc>
          <w:tcPr>
            <w:tcW w:type="dxa" w:w="2160"/>
          </w:tcPr>
          <w:p>
            <w:r>
              <w:t>NB registrations</w:t>
            </w:r>
          </w:p>
        </w:tc>
        <w:tc>
          <w:tcPr>
            <w:tcW w:type="dxa" w:w="2160"/>
          </w:tcPr>
          <w:p>
            <w:r>
              <w:t>101</w:t>
            </w:r>
          </w:p>
        </w:tc>
        <w:tc>
          <w:tcPr>
            <w:tcW w:type="dxa" w:w="2160"/>
          </w:tcPr>
          <w:p>
            <w:r>
              <w:t>-28%</w:t>
            </w:r>
          </w:p>
        </w:tc>
        <w:tc>
          <w:tcPr>
            <w:tcW w:type="dxa" w:w="2160"/>
          </w:tcPr>
          <w:p>
            <w:r>
              <w:t>-7%</w:t>
            </w:r>
          </w:p>
        </w:tc>
      </w:tr>
      <w:tr>
        <w:tc>
          <w:tcPr>
            <w:tcW w:type="dxa" w:w="2160"/>
          </w:tcPr>
          <w:p>
            <w:r>
              <w:t>Brand CPA</w:t>
            </w:r>
          </w:p>
        </w:tc>
        <w:tc>
          <w:tcPr>
            <w:tcW w:type="dxa" w:w="2160"/>
          </w:tcPr>
          <w:p>
            <w:r>
              <w:t>$24</w:t>
            </w:r>
          </w:p>
        </w:tc>
        <w:tc>
          <w:tcPr>
            <w:tcW w:type="dxa" w:w="2160"/>
          </w:tcPr>
          <w:p>
            <w:r>
              <w:t>+16%</w:t>
            </w:r>
          </w:p>
        </w:tc>
        <w:tc>
          <w:tcPr>
            <w:tcW w:type="dxa" w:w="2160"/>
          </w:tcPr>
          <w:p>
            <w:r>
              <w:t>—</w:t>
            </w:r>
          </w:p>
        </w:tc>
      </w:tr>
      <w:tr>
        <w:tc>
          <w:tcPr>
            <w:tcW w:type="dxa" w:w="2160"/>
          </w:tcPr>
          <w:p>
            <w:r>
              <w:t>NB CPA</w:t>
            </w:r>
          </w:p>
        </w:tc>
        <w:tc>
          <w:tcPr>
            <w:tcW w:type="dxa" w:w="2160"/>
          </w:tcPr>
          <w:p>
            <w:r>
              <w:t>$159</w:t>
            </w:r>
          </w:p>
        </w:tc>
        <w:tc>
          <w:tcPr>
            <w:tcW w:type="dxa" w:w="2160"/>
          </w:tcPr>
          <w:p>
            <w:r>
              <w:t>+19%</w:t>
            </w:r>
          </w:p>
        </w:tc>
        <w:tc>
          <w:tcPr>
            <w:tcW w:type="dxa" w:w="2160"/>
          </w:tcPr>
          <w:p>
            <w:r>
              <w:t>-45% (vs $291 LY)</w:t>
            </w:r>
          </w:p>
        </w:tc>
      </w:tr>
      <w:tr>
        <w:tc>
          <w:tcPr>
            <w:tcW w:type="dxa" w:w="2160"/>
          </w:tcPr>
          <w:p>
            <w:r>
              <w:t>Brand CVR</w:t>
            </w:r>
          </w:p>
        </w:tc>
        <w:tc>
          <w:tcPr>
            <w:tcW w:type="dxa" w:w="2160"/>
          </w:tcPr>
          <w:p>
            <w:r>
              <w:t>4.37%</w:t>
            </w:r>
          </w:p>
        </w:tc>
        <w:tc>
          <w:tcPr>
            <w:tcW w:type="dxa" w:w="2160"/>
          </w:tcPr>
          <w:p>
            <w:r>
              <w:t>-24%</w:t>
            </w:r>
          </w:p>
        </w:tc>
        <w:tc>
          <w:tcPr>
            <w:tcW w:type="dxa" w:w="2160"/>
          </w:tcPr>
          <w:p>
            <w:r>
              <w:t>—</w:t>
            </w:r>
          </w:p>
        </w:tc>
      </w:tr>
      <w:tr>
        <w:tc>
          <w:tcPr>
            <w:tcW w:type="dxa" w:w="2160"/>
          </w:tcPr>
          <w:p>
            <w:r>
              <w:t>NB CVR</w:t>
            </w:r>
          </w:p>
        </w:tc>
        <w:tc>
          <w:tcPr>
            <w:tcW w:type="dxa" w:w="2160"/>
          </w:tcPr>
          <w:p>
            <w:r>
              <w:t>1.08%</w:t>
            </w:r>
          </w:p>
        </w:tc>
        <w:tc>
          <w:tcPr>
            <w:tcW w:type="dxa" w:w="2160"/>
          </w:tcPr>
          <w:p>
            <w:r>
              <w:t>-26%</w:t>
            </w:r>
          </w:p>
        </w:tc>
        <w:tc>
          <w:tcPr>
            <w:tcW w:type="dxa" w:w="2160"/>
          </w:tcPr>
          <w:p>
            <w:r>
              <w:t>—</w:t>
            </w:r>
          </w:p>
        </w:tc>
      </w:tr>
      <w:tr>
        <w:tc>
          <w:tcPr>
            <w:tcW w:type="dxa" w:w="2160"/>
          </w:tcPr>
          <w:p>
            <w:r>
              <w:t>ie%CCP</w:t>
            </w:r>
          </w:p>
        </w:tc>
        <w:tc>
          <w:tcPr>
            <w:tcW w:type="dxa" w:w="2160"/>
          </w:tcPr>
          <w:p>
            <w:r>
              <w:t>126%</w:t>
            </w:r>
          </w:p>
        </w:tc>
        <w:tc>
          <w:tcPr>
            <w:tcW w:type="dxa" w:w="2160"/>
          </w:tcPr>
          <w:p>
            <w:r>
              <w:t>+27pp</w:t>
            </w:r>
          </w:p>
        </w:tc>
        <w:tc>
          <w:tcPr>
            <w:tcW w:type="dxa" w:w="2160"/>
          </w:tcPr>
          <w:p>
            <w:r>
              <w:t>Above 100% target</w:t>
            </w:r>
          </w:p>
        </w:tc>
      </w:tr>
    </w:tbl>
    <w:p>
      <w:r>
        <w:t>W14 coincides with Semana Santa (March 29–April 5), Mexico's largest national holiday period. Good Friday (April 3) and Sábado de Gloria (April 4) are the two days with the lowest registration volume: Friday at 12 and Saturday at 0, versus a Sunday-through-Thursday average of 45 registrations per day. This is holiday suppression, not data lag. The -33% WoW decline is consistent with the Benito Juarez holiday impact observed in W12 (-16% WoW, estimated 10–15 registrations lost from a single holiday day), scaled to a multi-day shutdown where many Mexican businesses close Thursday through Sunday.</w:t>
      </w:r>
    </w:p>
    <w:p>
      <w:r>
        <w:t>The CVR decline was broad-based: Brand CVR fell from 5.76% to 4.37% (-24% WoW) and NB CVR fell from 1.46% to 1.08% (-26% WoW). NB CVR falling below the post-restructuring baseline of 1.3–1.5% is concerning only if it persists in W15 after the holiday period ends. NB CPA climbed to $159, a 3-week consecutive increase from $121 (W12) to $134 (W13) to $159 (W14), driven by the CVR compression rather than CPC inflation (NB CPC actually declined 12% WoW to $1.72).</w:t>
      </w:r>
    </w:p>
    <w:p>
      <w:r>
        <w:t>YoY performance remains positive but narrowed: MX spent 40% less than the same week last year while generating 24% more registrations. Brand drove the growth (+65% YoY) but NB registrations turned negative YoY for the first time (-7%). The WoW pattern diverged sharply from last year (TY -33% versus LY +4%), but LY W14 did not fall on Semana Santa — the holiday timing differs year to year, making the YoY comparison unreliable for this specific week.</w:t>
      </w:r>
    </w:p>
    <w:p>
      <w:pPr>
        <w:pStyle w:val="Heading2"/>
      </w:pPr>
      <w:r>
        <w:t>Flags</w:t>
      </w:r>
    </w:p>
    <w:p>
      <w:r>
        <w:t>5 anomalies detected (&gt;20% deviation from 8-week average):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Metric</w:t>
            </w:r>
          </w:p>
        </w:tc>
        <w:tc>
          <w:tcPr>
            <w:tcW w:type="dxa" w:w="1728"/>
          </w:tcPr>
          <w:p>
            <w:r>
              <w:t>W14 Value</w:t>
            </w:r>
          </w:p>
        </w:tc>
        <w:tc>
          <w:tcPr>
            <w:tcW w:type="dxa" w:w="1728"/>
          </w:tcPr>
          <w:p>
            <w:r>
              <w:t>8-Week Avg</w:t>
            </w:r>
          </w:p>
        </w:tc>
        <w:tc>
          <w:tcPr>
            <w:tcW w:type="dxa" w:w="1728"/>
          </w:tcPr>
          <w:p>
            <w:r>
              <w:t>Deviation</w:t>
            </w:r>
          </w:p>
        </w:tc>
        <w:tc>
          <w:tcPr>
            <w:tcW w:type="dxa" w:w="1728"/>
          </w:tcPr>
          <w:p>
            <w:r>
              <w:t>Implication</w:t>
            </w:r>
          </w:p>
        </w:tc>
      </w:tr>
      <w:tr>
        <w:tc>
          <w:tcPr>
            <w:tcW w:type="dxa" w:w="1728"/>
          </w:tcPr>
          <w:p>
            <w:r>
              <w:t>Registrations</w:t>
            </w:r>
          </w:p>
        </w:tc>
        <w:tc>
          <w:tcPr>
            <w:tcW w:type="dxa" w:w="1728"/>
          </w:tcPr>
          <w:p>
            <w:r>
              <w:t>238</w:t>
            </w:r>
          </w:p>
        </w:tc>
        <w:tc>
          <w:tcPr>
            <w:tcW w:type="dxa" w:w="1728"/>
          </w:tcPr>
          <w:p>
            <w:r>
              <w:t>320</w:t>
            </w:r>
          </w:p>
        </w:tc>
        <w:tc>
          <w:tcPr>
            <w:tcW w:type="dxa" w:w="1728"/>
          </w:tcPr>
          <w:p>
            <w:r>
              <w:t>-26%</w:t>
            </w:r>
          </w:p>
        </w:tc>
        <w:tc>
          <w:tcPr>
            <w:tcW w:type="dxa" w:w="1728"/>
          </w:tcPr>
          <w:p>
            <w:r>
              <w:t>Sharpest weekly decline in dataset</w:t>
            </w:r>
          </w:p>
        </w:tc>
      </w:tr>
      <w:tr>
        <w:tc>
          <w:tcPr>
            <w:tcW w:type="dxa" w:w="1728"/>
          </w:tcPr>
          <w:p>
            <w:r>
              <w:t>CPA</w:t>
            </w:r>
          </w:p>
        </w:tc>
        <w:tc>
          <w:tcPr>
            <w:tcW w:type="dxa" w:w="1728"/>
          </w:tcPr>
          <w:p>
            <w:r>
              <w:t>$82</w:t>
            </w:r>
          </w:p>
        </w:tc>
        <w:tc>
          <w:tcPr>
            <w:tcW w:type="dxa" w:w="1728"/>
          </w:tcPr>
          <w:p>
            <w:r>
              <w:t>$62</w:t>
            </w:r>
          </w:p>
        </w:tc>
        <w:tc>
          <w:tcPr>
            <w:tcW w:type="dxa" w:w="1728"/>
          </w:tcPr>
          <w:p>
            <w:r>
              <w:t>+31%</w:t>
            </w:r>
          </w:p>
        </w:tc>
        <w:tc>
          <w:tcPr>
            <w:tcW w:type="dxa" w:w="1728"/>
          </w:tcPr>
          <w:p>
            <w:r>
              <w:t>3-week consecutive CPA increase</w:t>
            </w:r>
          </w:p>
        </w:tc>
      </w:tr>
      <w:tr>
        <w:tc>
          <w:tcPr>
            <w:tcW w:type="dxa" w:w="1728"/>
          </w:tcPr>
          <w:p>
            <w:r>
              <w:t>CVR</w:t>
            </w:r>
          </w:p>
        </w:tc>
        <w:tc>
          <w:tcPr>
            <w:tcW w:type="dxa" w:w="1728"/>
          </w:tcPr>
          <w:p>
            <w:r>
              <w:t>1.91%</w:t>
            </w:r>
          </w:p>
        </w:tc>
        <w:tc>
          <w:tcPr>
            <w:tcW w:type="dxa" w:w="1728"/>
          </w:tcPr>
          <w:p>
            <w:r>
              <w:t>2.65%</w:t>
            </w:r>
          </w:p>
        </w:tc>
        <w:tc>
          <w:tcPr>
            <w:tcW w:type="dxa" w:w="1728"/>
          </w:tcPr>
          <w:p>
            <w:r>
              <w:t>-28%</w:t>
            </w:r>
          </w:p>
        </w:tc>
        <w:tc>
          <w:tcPr>
            <w:tcW w:type="dxa" w:w="1728"/>
          </w:tcPr>
          <w:p>
            <w:r>
              <w:t>Both Brand and NB CVR collapsed</w:t>
            </w:r>
          </w:p>
        </w:tc>
      </w:tr>
      <w:tr>
        <w:tc>
          <w:tcPr>
            <w:tcW w:type="dxa" w:w="1728"/>
          </w:tcPr>
          <w:p>
            <w:r>
              <w:t>Brand regs</w:t>
            </w:r>
          </w:p>
        </w:tc>
        <w:tc>
          <w:tcPr>
            <w:tcW w:type="dxa" w:w="1728"/>
          </w:tcPr>
          <w:p>
            <w:r>
              <w:t>137</w:t>
            </w:r>
          </w:p>
        </w:tc>
        <w:tc>
          <w:tcPr>
            <w:tcW w:type="dxa" w:w="1728"/>
          </w:tcPr>
          <w:p>
            <w:r>
              <w:t>208</w:t>
            </w:r>
          </w:p>
        </w:tc>
        <w:tc>
          <w:tcPr>
            <w:tcW w:type="dxa" w:w="1728"/>
          </w:tcPr>
          <w:p>
            <w:r>
              <w:t>-34%</w:t>
            </w:r>
          </w:p>
        </w:tc>
        <w:tc>
          <w:tcPr>
            <w:tcW w:type="dxa" w:w="1728"/>
          </w:tcPr>
          <w:p>
            <w:r>
              <w:t>Brand CVR at dataset low (4.37%)</w:t>
            </w:r>
          </w:p>
        </w:tc>
      </w:tr>
      <w:tr>
        <w:tc>
          <w:tcPr>
            <w:tcW w:type="dxa" w:w="1728"/>
          </w:tcPr>
          <w:p>
            <w:r>
              <w:t>Brand CVR</w:t>
            </w:r>
          </w:p>
        </w:tc>
        <w:tc>
          <w:tcPr>
            <w:tcW w:type="dxa" w:w="1728"/>
          </w:tcPr>
          <w:p>
            <w:r>
              <w:t>4.37%</w:t>
            </w:r>
          </w:p>
        </w:tc>
        <w:tc>
          <w:tcPr>
            <w:tcW w:type="dxa" w:w="1728"/>
          </w:tcPr>
          <w:p>
            <w:r>
              <w:t>5.80%</w:t>
            </w:r>
          </w:p>
        </w:tc>
        <w:tc>
          <w:tcPr>
            <w:tcW w:type="dxa" w:w="1728"/>
          </w:tcPr>
          <w:p>
            <w:r>
              <w:t>-25%</w:t>
            </w:r>
          </w:p>
        </w:tc>
        <w:tc>
          <w:tcPr>
            <w:tcW w:type="dxa" w:w="1728"/>
          </w:tcPr>
          <w:p>
            <w:r>
              <w:t>Below normal 4.5–6.0% range</w:t>
            </w:r>
          </w:p>
        </w:tc>
      </w:tr>
    </w:tbl>
    <w:p>
      <w:r>
        <w:t>**Anomaly flag:** NB CVR at 1.08% fell below the post-restructuring baseline of 1.3–1.5%. However, W14 coincides with Semana Santa — the anomaly is holiday-driven, not structural. W15 is the clean read. If NB CVR does not recover to 1.3%+ in W15, investigate search query changes or competitive entry.</w:t>
      </w:r>
    </w:p>
    <w:p>
      <w:r>
        <w:t>**Cost of inaction (null case):** ie%CCP at 126% in W14 already exceeds the 100% Q2 target. At the current NB CPA of $159 against a $30 NB CCP, each NB registration generates a $129 deficit. April OP2 budget is $35K. At the W14 weekly run rate of $19K, the entire April budget would be consumed by week 2, leaving zero spend capacity for the final 2 weeks. The NB spend ceiling at 100% ie%CCP with April Brand projected at 720 registrations is approximately 358 NB registrations (down from 477 at W13's $134 NB CPA). Every week of delay in implementing the April NB budget reduction plan increases the ie%CCP overshoot and the retroactive justification required for finance.</w:t>
      </w:r>
    </w:p>
    <w:p>
      <w:r>
        <w:t>---</w:t>
      </w:r>
    </w:p>
    <w:p>
      <w:pPr>
        <w:pStyle w:val="Heading2"/>
      </w:pPr>
      <w:r>
        <w:t>Lessons Learned</w:t>
      </w:r>
    </w:p>
    <w:p>
      <w:r>
        <w:t>Three operational insights from the trailing three-week window (W12–W14) inform the immediate tactical posture:</w:t>
      </w:r>
    </w:p>
    <w:p>
      <w:pPr>
        <w:pStyle w:val="ListNumber"/>
      </w:pPr>
      <w:r>
        <w:t>**The W14 CVR decline is Semana Santa holiday suppression, not structural degradation of the W11 negative keyword improvement.** W11's NB CVR of 1.57% normalized to 1.38% (W12) and 1.46% (W13), confirming a durable improvement above the pre-restructuring baseline of 1.1–1.3%. W14's drop to 1.08% coincides precisely with Mexico's largest national holiday (March 29–April 5), when many businesses close Thursday through Sunday. The daily pattern confirms this: Sunday through Thursday averaged 45 registrations per day, then Friday (Good Friday) dropped to 12 and Saturday (Sábado de Gloria) to 0. W15 will be the clean read — if NB CVR recovers to the 1.3–1.5% range, the negative keyword restructuring remains intact. No bid strategy or keyword changes are warranted based on W14 data alone.</w:t>
      </w:r>
    </w:p>
    <w:p>
      <w:pPr>
        <w:pStyle w:val="ListNumber"/>
      </w:pPr>
      <w:r>
        <w:t>**ie%CCP breaching 100% in W14 (126%) confirms the April budget reduction is no longer a planning exercise — it is an operational emergency.** March operated at 77–99% ie%CCP as Brand surplus accumulated. W14's 126% means the program is spending more per registration than the CCP model funds. At NB CPA of $159 against $30 NB CCP, each NB registration generates a $129 deficit. The April OP2 budget of $35K cannot sustain the W14 run rate for more than 2 weeks. The NB spend ceiling at 100% ie%CCP has dropped from 477 registrations (at W13's $134 NB CPA) to approximately 358 registrations (at W14's $159 NB CPA).</w:t>
      </w:r>
    </w:p>
    <w:p>
      <w:pPr>
        <w:pStyle w:val="ListNumber"/>
      </w:pPr>
      <w:r>
        <w:t>**The CPA rising streak (3 consecutive weeks: $58 → $66 → $82) is partially holiday-inflated and partially real.** W11–W12 CPA increase ($58→$61) was organic normalization after the negative keyword spike. W12–W13 ($61→$66) was spend growing faster than registrations. W13–W14 ($66→$82) is dominated by Semana Santa suppression — the same spend level produced fewer conversions because potential customers were on holiday. The underlying CPA trend excluding W14 is $58→$66, a 14% increase over 3 weeks. This is worth monitoring but not alarming. The W14 data point is an outlier that will normalize in W15.</w:t>
      </w:r>
    </w:p>
    <w:p>
      <w:r>
        <w:t>---</w:t>
      </w:r>
    </w:p>
    <w:p>
      <w:pPr>
        <w:pStyle w:val="Heading2"/>
      </w:pPr>
      <w:r>
        <w:t>Strategic Priorities</w:t>
      </w:r>
    </w:p>
    <w:p>
      <w:r>
        <w:t>**Next 24–48 hours:**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Priority</w:t>
            </w:r>
          </w:p>
        </w:tc>
        <w:tc>
          <w:tcPr>
            <w:tcW w:type="dxa" w:w="1728"/>
          </w:tcPr>
          <w:p>
            <w:r>
              <w:t>Action</w:t>
            </w:r>
          </w:p>
        </w:tc>
        <w:tc>
          <w:tcPr>
            <w:tcW w:type="dxa" w:w="1728"/>
          </w:tcPr>
          <w:p>
            <w:r>
              <w:t>Owner</w:t>
            </w:r>
          </w:p>
        </w:tc>
        <w:tc>
          <w:tcPr>
            <w:tcW w:type="dxa" w:w="1728"/>
          </w:tcPr>
          <w:p>
            <w:r>
              <w:t>Deadline</w:t>
            </w:r>
          </w:p>
        </w:tc>
        <w:tc>
          <w:tcPr>
            <w:tcW w:type="dxa" w:w="1728"/>
          </w:tcPr>
          <w:p>
            <w:r>
              <w:t>Goal Link</w:t>
            </w:r>
          </w:p>
        </w:tc>
      </w:tr>
      <w:tr>
        <w:tc>
          <w:tcPr>
            <w:tcW w:type="dxa" w:w="1728"/>
          </w:tcPr>
          <w:p>
            <w:r>
              <w:t>1</w:t>
            </w:r>
          </w:p>
        </w:tc>
        <w:tc>
          <w:tcPr>
            <w:tcW w:type="dxa" w:w="1728"/>
          </w:tcPr>
          <w:p>
            <w:r>
              <w:t>Implement April NB budget reduction immediately — ie%CCP at 126% is an operational emergency, not a planning item</w:t>
            </w:r>
          </w:p>
        </w:tc>
        <w:tc>
          <w:tcPr>
            <w:tcW w:type="dxa" w:w="1728"/>
          </w:tcPr>
          <w:p>
            <w:r>
              <w:t>Richard</w:t>
            </w:r>
          </w:p>
        </w:tc>
        <w:tc>
          <w:tcPr>
            <w:tcW w:type="dxa" w:w="1728"/>
          </w:tcPr>
          <w:p>
            <w:r>
              <w:t>Apr 13</w:t>
            </w:r>
          </w:p>
        </w:tc>
        <w:tc>
          <w:tcPr>
            <w:tcW w:type="dxa" w:w="1728"/>
          </w:tcPr>
          <w:p>
            <w:r>
              <w:t>Goal 1, 2</w:t>
            </w:r>
          </w:p>
        </w:tc>
      </w:tr>
      <w:tr>
        <w:tc>
          <w:tcPr>
            <w:tcW w:type="dxa" w:w="1728"/>
          </w:tcPr>
          <w:p>
            <w:r>
              <w:t>2</w:t>
            </w:r>
          </w:p>
        </w:tc>
        <w:tc>
          <w:tcPr>
            <w:tcW w:type="dxa" w:w="1728"/>
          </w:tcPr>
          <w:p>
            <w:r>
              <w:t>Investigate W14 CVR collapse: determine whether data lag (Fri/Sat at 6 regs vs 45 avg) or genuine conversion degradation</w:t>
            </w:r>
          </w:p>
        </w:tc>
        <w:tc>
          <w:tcPr>
            <w:tcW w:type="dxa" w:w="1728"/>
          </w:tcPr>
          <w:p>
            <w:r>
              <w:t>Richard</w:t>
            </w:r>
          </w:p>
        </w:tc>
        <w:tc>
          <w:tcPr>
            <w:tcW w:type="dxa" w:w="1728"/>
          </w:tcPr>
          <w:p>
            <w:r>
              <w:t>Apr 14</w:t>
            </w:r>
          </w:p>
        </w:tc>
        <w:tc>
          <w:tcPr>
            <w:tcW w:type="dxa" w:w="1728"/>
          </w:tcPr>
          <w:p>
            <w:r>
              <w:t>Goal 1</w:t>
            </w:r>
          </w:p>
        </w:tc>
      </w:tr>
      <w:tr>
        <w:tc>
          <w:tcPr>
            <w:tcW w:type="dxa" w:w="1728"/>
          </w:tcPr>
          <w:p>
            <w:r>
              <w:t>3</w:t>
            </w:r>
          </w:p>
        </w:tc>
        <w:tc>
          <w:tcPr>
            <w:tcW w:type="dxa" w:w="1728"/>
          </w:tcPr>
          <w:p>
            <w:r>
              <w:t>Respond to Lorena's Q2 expected spend request for PO submission (18 days overdue from 3/25 request)</w:t>
            </w:r>
          </w:p>
        </w:tc>
        <w:tc>
          <w:tcPr>
            <w:tcW w:type="dxa" w:w="1728"/>
          </w:tcPr>
          <w:p>
            <w:r>
              <w:t>Richard</w:t>
            </w:r>
          </w:p>
        </w:tc>
        <w:tc>
          <w:tcPr>
            <w:tcW w:type="dxa" w:w="1728"/>
          </w:tcPr>
          <w:p>
            <w:r>
              <w:t>Apr 13</w:t>
            </w:r>
          </w:p>
        </w:tc>
        <w:tc>
          <w:tcPr>
            <w:tcW w:type="dxa" w:w="1728"/>
          </w:tcPr>
          <w:p>
            <w:r>
              <w:t>Goal 4 (tenet: stakeholder responsiveness)</w:t>
            </w:r>
          </w:p>
        </w:tc>
      </w:tr>
      <w:tr>
        <w:tc>
          <w:tcPr>
            <w:tcW w:type="dxa" w:w="1728"/>
          </w:tcPr>
          <w:p>
            <w:r>
              <w:t>4</w:t>
            </w:r>
          </w:p>
        </w:tc>
        <w:tc>
          <w:tcPr>
            <w:tcW w:type="dxa" w:w="1728"/>
          </w:tcPr>
          <w:p>
            <w:r>
              <w:t>Respond to Lorena's keyword data and strategy request (24 days overdue from 3/19 email)</w:t>
            </w:r>
          </w:p>
        </w:tc>
        <w:tc>
          <w:tcPr>
            <w:tcW w:type="dxa" w:w="1728"/>
          </w:tcPr>
          <w:p>
            <w:r>
              <w:t>Richard</w:t>
            </w:r>
          </w:p>
        </w:tc>
        <w:tc>
          <w:tcPr>
            <w:tcW w:type="dxa" w:w="1728"/>
          </w:tcPr>
          <w:p>
            <w:r>
              <w:t>Apr 13</w:t>
            </w:r>
          </w:p>
        </w:tc>
        <w:tc>
          <w:tcPr>
            <w:tcW w:type="dxa" w:w="1728"/>
          </w:tcPr>
          <w:p>
            <w:r>
              <w:t>Goal 4</w:t>
            </w:r>
          </w:p>
        </w:tc>
      </w:tr>
      <w:tr>
        <w:tc>
          <w:tcPr>
            <w:tcW w:type="dxa" w:w="1728"/>
          </w:tcPr>
          <w:p>
            <w:r>
              <w:t>5</w:t>
            </w:r>
          </w:p>
        </w:tc>
        <w:tc>
          <w:tcPr>
            <w:tcW w:type="dxa" w:w="1728"/>
          </w:tcPr>
          <w:p>
            <w:r>
              <w:t>Model April Brand/NB mix scenarios at $35K OP2 budget — NB ceiling now ~358 regs at $159 NB CPA (down from 477 at $134)</w:t>
            </w:r>
          </w:p>
        </w:tc>
        <w:tc>
          <w:tcPr>
            <w:tcW w:type="dxa" w:w="1728"/>
          </w:tcPr>
          <w:p>
            <w:r>
              <w:t>Richard</w:t>
            </w:r>
          </w:p>
        </w:tc>
        <w:tc>
          <w:tcPr>
            <w:tcW w:type="dxa" w:w="1728"/>
          </w:tcPr>
          <w:p>
            <w:r>
              <w:t>Apr 14</w:t>
            </w:r>
          </w:p>
        </w:tc>
        <w:tc>
          <w:tcPr>
            <w:tcW w:type="dxa" w:w="1728"/>
          </w:tcPr>
          <w:p>
            <w:r>
              <w:t>Goal 1, 2</w:t>
            </w:r>
          </w:p>
        </w:tc>
      </w:tr>
    </w:tbl>
    <w:p>
      <w:r>
        <w:t>**Blocked items:**</w:t>
      </w:r>
    </w:p>
    <w:p>
      <w:pPr>
        <w:pStyle w:val="ListBullet"/>
      </w:pPr>
      <w:r>
        <w:t>Kingpin Goals MX: blocked by Andes data availability. No action possible until Andes delivers.</w:t>
      </w:r>
    </w:p>
    <w:p>
      <w:pPr>
        <w:pStyle w:val="ListBullet"/>
      </w:pPr>
      <w:r>
        <w:t>MX Auto landing page ref tag overwrite: engineering escalation via Vijeth pending. Attribution is broken on the automotive LP.</w:t>
      </w:r>
    </w:p>
    <w:p>
      <w:pPr>
        <w:pStyle w:val="ListBullet"/>
      </w:pPr>
      <w:r>
        <w:t>Keyword-level registration data: unavailable until Q3 2026. All NB analysis remains directional.</w:t>
      </w:r>
    </w:p>
    <w:p>
      <w:r>
        <w:t>**Stakeholder actions required:**</w:t>
      </w:r>
    </w:p>
    <w:p>
      <w:pPr>
        <w:pStyle w:val="ListBullet"/>
      </w:pPr>
      <w:r>
        <w:t>Lorena: confirm Q2 keyword priorities and Beauty campaign budget allocation.</w:t>
      </w:r>
    </w:p>
    <w:p>
      <w:pPr>
        <w:pStyle w:val="ListBullet"/>
      </w:pPr>
      <w:r>
        <w:t>Vijeth: deliver footer fix for MX Auto page and ref tag overwrite resolution.</w:t>
      </w:r>
    </w:p>
    <w:p>
      <w:pPr>
        <w:pStyle w:val="ListBullet"/>
      </w:pPr>
      <w:r>
        <w:t>Brandon: approve April NB spend reduction plan once modeled.</w:t>
      </w:r>
    </w:p>
    <w:p>
      <w:r>
        <w:t>---</w:t>
      </w:r>
    </w:p>
    <w:p>
      <w:pPr>
        <w:pStyle w:val="Heading2"/>
      </w:pPr>
      <w:r>
        <w:t>Appendix A: Weekly Trend (W7–W14)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Week</w:t>
            </w:r>
          </w:p>
        </w:tc>
        <w:tc>
          <w:tcPr>
            <w:tcW w:type="dxa" w:w="960"/>
          </w:tcPr>
          <w:p>
            <w:r>
              <w:t>Regs</w:t>
            </w:r>
          </w:p>
        </w:tc>
        <w:tc>
          <w:tcPr>
            <w:tcW w:type="dxa" w:w="960"/>
          </w:tcPr>
          <w:p>
            <w:r>
              <w:t>Brand</w:t>
            </w:r>
          </w:p>
        </w:tc>
        <w:tc>
          <w:tcPr>
            <w:tcW w:type="dxa" w:w="960"/>
          </w:tcPr>
          <w:p>
            <w:r>
              <w:t>NB</w:t>
            </w:r>
          </w:p>
        </w:tc>
        <w:tc>
          <w:tcPr>
            <w:tcW w:type="dxa" w:w="960"/>
          </w:tcPr>
          <w:p>
            <w:r>
              <w:t>Spend</w:t>
            </w:r>
          </w:p>
        </w:tc>
        <w:tc>
          <w:tcPr>
            <w:tcW w:type="dxa" w:w="960"/>
          </w:tcPr>
          <w:p>
            <w:r>
              <w:t>CPA</w:t>
            </w:r>
          </w:p>
        </w:tc>
        <w:tc>
          <w:tcPr>
            <w:tcW w:type="dxa" w:w="960"/>
          </w:tcPr>
          <w:p>
            <w:r>
              <w:t>NB CPA</w:t>
            </w:r>
          </w:p>
        </w:tc>
        <w:tc>
          <w:tcPr>
            <w:tcW w:type="dxa" w:w="960"/>
          </w:tcPr>
          <w:p>
            <w:r>
              <w:t>NB CVR</w:t>
            </w:r>
          </w:p>
        </w:tc>
        <w:tc>
          <w:tcPr>
            <w:tcW w:type="dxa" w:w="960"/>
          </w:tcPr>
          <w:p>
            <w:r>
              <w:t>ie%CCP</w:t>
            </w:r>
          </w:p>
        </w:tc>
      </w:tr>
      <w:tr>
        <w:tc>
          <w:tcPr>
            <w:tcW w:type="dxa" w:w="960"/>
          </w:tcPr>
          <w:p>
            <w:r>
              <w:t>W7</w:t>
            </w:r>
          </w:p>
        </w:tc>
        <w:tc>
          <w:tcPr>
            <w:tcW w:type="dxa" w:w="960"/>
          </w:tcPr>
          <w:p>
            <w:r>
              <w:t>246</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W8</w:t>
            </w:r>
          </w:p>
        </w:tc>
        <w:tc>
          <w:tcPr>
            <w:tcW w:type="dxa" w:w="960"/>
          </w:tcPr>
          <w:p>
            <w:r>
              <w:t>368</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W9</w:t>
            </w:r>
          </w:p>
        </w:tc>
        <w:tc>
          <w:tcPr>
            <w:tcW w:type="dxa" w:w="960"/>
          </w:tcPr>
          <w:p>
            <w:r>
              <w:t>264</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W10</w:t>
            </w:r>
          </w:p>
        </w:tc>
        <w:tc>
          <w:tcPr>
            <w:tcW w:type="dxa" w:w="960"/>
          </w:tcPr>
          <w:p>
            <w:r>
              <w:t>298</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W11</w:t>
            </w:r>
          </w:p>
        </w:tc>
        <w:tc>
          <w:tcPr>
            <w:tcW w:type="dxa" w:w="960"/>
          </w:tcPr>
          <w:p>
            <w:r>
              <w:t>397</w:t>
            </w:r>
          </w:p>
        </w:tc>
        <w:tc>
          <w:tcPr>
            <w:tcW w:type="dxa" w:w="960"/>
          </w:tcPr>
          <w:p>
            <w:r>
              <w:t>246</w:t>
            </w:r>
          </w:p>
        </w:tc>
        <w:tc>
          <w:tcPr>
            <w:tcW w:type="dxa" w:w="960"/>
          </w:tcPr>
          <w:p>
            <w:r>
              <w:t>147</w:t>
            </w:r>
          </w:p>
        </w:tc>
        <w:tc>
          <w:tcPr>
            <w:tcW w:type="dxa" w:w="960"/>
          </w:tcPr>
          <w:p>
            <w:r>
              <w:t>$22K</w:t>
            </w:r>
          </w:p>
        </w:tc>
        <w:tc>
          <w:tcPr>
            <w:tcW w:type="dxa" w:w="960"/>
          </w:tcPr>
          <w:p>
            <w:r>
              <w:t>$57</w:t>
            </w:r>
          </w:p>
        </w:tc>
        <w:tc>
          <w:tcPr>
            <w:tcW w:type="dxa" w:w="960"/>
          </w:tcPr>
          <w:p>
            <w:r>
              <w:t>$121</w:t>
            </w:r>
          </w:p>
        </w:tc>
        <w:tc>
          <w:tcPr>
            <w:tcW w:type="dxa" w:w="960"/>
          </w:tcPr>
          <w:p>
            <w:r>
              <w:t>1.57%</w:t>
            </w:r>
          </w:p>
        </w:tc>
        <w:tc>
          <w:tcPr>
            <w:tcW w:type="dxa" w:w="960"/>
          </w:tcPr>
          <w:p>
            <w:r>
              <w:t>83%</w:t>
            </w:r>
          </w:p>
        </w:tc>
      </w:tr>
      <w:tr>
        <w:tc>
          <w:tcPr>
            <w:tcW w:type="dxa" w:w="960"/>
          </w:tcPr>
          <w:p>
            <w:r>
              <w:t>W12</w:t>
            </w:r>
          </w:p>
        </w:tc>
        <w:tc>
          <w:tcPr>
            <w:tcW w:type="dxa" w:w="960"/>
          </w:tcPr>
          <w:p>
            <w:r>
              <w:t>330</w:t>
            </w:r>
          </w:p>
        </w:tc>
        <w:tc>
          <w:tcPr>
            <w:tcW w:type="dxa" w:w="960"/>
          </w:tcPr>
          <w:p>
            <w:r>
              <w:t>208</w:t>
            </w:r>
          </w:p>
        </w:tc>
        <w:tc>
          <w:tcPr>
            <w:tcW w:type="dxa" w:w="960"/>
          </w:tcPr>
          <w:p>
            <w:r>
              <w:t>122</w:t>
            </w:r>
          </w:p>
        </w:tc>
        <w:tc>
          <w:tcPr>
            <w:tcW w:type="dxa" w:w="960"/>
          </w:tcPr>
          <w:p>
            <w:r>
              <w:t>$20K</w:t>
            </w:r>
          </w:p>
        </w:tc>
        <w:tc>
          <w:tcPr>
            <w:tcW w:type="dxa" w:w="960"/>
          </w:tcPr>
          <w:p>
            <w:r>
              <w:t>$61</w:t>
            </w:r>
          </w:p>
        </w:tc>
        <w:tc>
          <w:tcPr>
            <w:tcW w:type="dxa" w:w="960"/>
          </w:tcPr>
          <w:p>
            <w:r>
              <w:t>$131</w:t>
            </w:r>
          </w:p>
        </w:tc>
        <w:tc>
          <w:tcPr>
            <w:tcW w:type="dxa" w:w="960"/>
          </w:tcPr>
          <w:p>
            <w:r>
              <w:t>1.38%</w:t>
            </w:r>
          </w:p>
        </w:tc>
        <w:tc>
          <w:tcPr>
            <w:tcW w:type="dxa" w:w="960"/>
          </w:tcPr>
          <w:p>
            <w:r>
              <w:t>90%</w:t>
            </w:r>
          </w:p>
        </w:tc>
      </w:tr>
      <w:tr>
        <w:tc>
          <w:tcPr>
            <w:tcW w:type="dxa" w:w="960"/>
          </w:tcPr>
          <w:p>
            <w:r>
              <w:t>W13</w:t>
            </w:r>
          </w:p>
        </w:tc>
        <w:tc>
          <w:tcPr>
            <w:tcW w:type="dxa" w:w="960"/>
          </w:tcPr>
          <w:p>
            <w:r>
              <w:t>354</w:t>
            </w:r>
          </w:p>
        </w:tc>
        <w:tc>
          <w:tcPr>
            <w:tcW w:type="dxa" w:w="960"/>
          </w:tcPr>
          <w:p>
            <w:r>
              <w:t>214</w:t>
            </w:r>
          </w:p>
        </w:tc>
        <w:tc>
          <w:tcPr>
            <w:tcW w:type="dxa" w:w="960"/>
          </w:tcPr>
          <w:p>
            <w:r>
              <w:t>140</w:t>
            </w:r>
          </w:p>
        </w:tc>
        <w:tc>
          <w:tcPr>
            <w:tcW w:type="dxa" w:w="960"/>
          </w:tcPr>
          <w:p>
            <w:r>
              <w:t>$23K</w:t>
            </w:r>
          </w:p>
        </w:tc>
        <w:tc>
          <w:tcPr>
            <w:tcW w:type="dxa" w:w="960"/>
          </w:tcPr>
          <w:p>
            <w:r>
              <w:t>$66</w:t>
            </w:r>
          </w:p>
        </w:tc>
        <w:tc>
          <w:tcPr>
            <w:tcW w:type="dxa" w:w="960"/>
          </w:tcPr>
          <w:p>
            <w:r>
              <w:t>$134</w:t>
            </w:r>
          </w:p>
        </w:tc>
        <w:tc>
          <w:tcPr>
            <w:tcW w:type="dxa" w:w="960"/>
          </w:tcPr>
          <w:p>
            <w:r>
              <w:t>1.46%</w:t>
            </w:r>
          </w:p>
        </w:tc>
        <w:tc>
          <w:tcPr>
            <w:tcW w:type="dxa" w:w="960"/>
          </w:tcPr>
          <w:p>
            <w:r>
              <w:t>99%</w:t>
            </w:r>
          </w:p>
        </w:tc>
      </w:tr>
      <w:tr>
        <w:tc>
          <w:tcPr>
            <w:tcW w:type="dxa" w:w="960"/>
          </w:tcPr>
          <w:p>
            <w:r>
              <w:t>W14</w:t>
            </w:r>
          </w:p>
        </w:tc>
        <w:tc>
          <w:tcPr>
            <w:tcW w:type="dxa" w:w="960"/>
          </w:tcPr>
          <w:p>
            <w:r>
              <w:t>238</w:t>
            </w:r>
          </w:p>
        </w:tc>
        <w:tc>
          <w:tcPr>
            <w:tcW w:type="dxa" w:w="960"/>
          </w:tcPr>
          <w:p>
            <w:r>
              <w:t>137</w:t>
            </w:r>
          </w:p>
        </w:tc>
        <w:tc>
          <w:tcPr>
            <w:tcW w:type="dxa" w:w="960"/>
          </w:tcPr>
          <w:p>
            <w:r>
              <w:t>101</w:t>
            </w:r>
          </w:p>
        </w:tc>
        <w:tc>
          <w:tcPr>
            <w:tcW w:type="dxa" w:w="960"/>
          </w:tcPr>
          <w:p>
            <w:r>
              <w:t>$19K</w:t>
            </w:r>
          </w:p>
        </w:tc>
        <w:tc>
          <w:tcPr>
            <w:tcW w:type="dxa" w:w="960"/>
          </w:tcPr>
          <w:p>
            <w:r>
              <w:t>$82</w:t>
            </w:r>
          </w:p>
        </w:tc>
        <w:tc>
          <w:tcPr>
            <w:tcW w:type="dxa" w:w="960"/>
          </w:tcPr>
          <w:p>
            <w:r>
              <w:t>$159</w:t>
            </w:r>
          </w:p>
        </w:tc>
        <w:tc>
          <w:tcPr>
            <w:tcW w:type="dxa" w:w="960"/>
          </w:tcPr>
          <w:p>
            <w:r>
              <w:t>1.08%</w:t>
            </w:r>
          </w:p>
        </w:tc>
        <w:tc>
          <w:tcPr>
            <w:tcW w:type="dxa" w:w="960"/>
          </w:tcPr>
          <w:p>
            <w:r>
              <w:t>126%</w:t>
            </w:r>
          </w:p>
        </w:tc>
      </w:tr>
    </w:tbl>
    <w:p>
      <w:pPr>
        <w:pStyle w:val="Heading2"/>
      </w:pPr>
      <w:r>
        <w:t>Appendix B: YoY Comparison (W14)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2026 W14</w:t>
            </w:r>
          </w:p>
        </w:tc>
        <w:tc>
          <w:tcPr>
            <w:tcW w:type="dxa" w:w="2160"/>
          </w:tcPr>
          <w:p>
            <w:r>
              <w:t>2025 W14</w:t>
            </w:r>
          </w:p>
        </w:tc>
        <w:tc>
          <w:tcPr>
            <w:tcW w:type="dxa" w:w="2160"/>
          </w:tcPr>
          <w:p>
            <w:r>
              <w:t>YoY Δ</w:t>
            </w:r>
          </w:p>
        </w:tc>
      </w:tr>
      <w:tr>
        <w:tc>
          <w:tcPr>
            <w:tcW w:type="dxa" w:w="2160"/>
          </w:tcPr>
          <w:p>
            <w:r>
              <w:t>Registrations</w:t>
            </w:r>
          </w:p>
        </w:tc>
        <w:tc>
          <w:tcPr>
            <w:tcW w:type="dxa" w:w="2160"/>
          </w:tcPr>
          <w:p>
            <w:r>
              <w:t>238</w:t>
            </w:r>
          </w:p>
        </w:tc>
        <w:tc>
          <w:tcPr>
            <w:tcW w:type="dxa" w:w="2160"/>
          </w:tcPr>
          <w:p>
            <w:r>
              <w:t>192</w:t>
            </w:r>
          </w:p>
        </w:tc>
        <w:tc>
          <w:tcPr>
            <w:tcW w:type="dxa" w:w="2160"/>
          </w:tcPr>
          <w:p>
            <w:r>
              <w:t>+24%</w:t>
            </w:r>
          </w:p>
        </w:tc>
      </w:tr>
      <w:tr>
        <w:tc>
          <w:tcPr>
            <w:tcW w:type="dxa" w:w="2160"/>
          </w:tcPr>
          <w:p>
            <w:r>
              <w:t>Spend</w:t>
            </w:r>
          </w:p>
        </w:tc>
        <w:tc>
          <w:tcPr>
            <w:tcW w:type="dxa" w:w="2160"/>
          </w:tcPr>
          <w:p>
            <w:r>
              <w:t>$19K</w:t>
            </w:r>
          </w:p>
        </w:tc>
        <w:tc>
          <w:tcPr>
            <w:tcW w:type="dxa" w:w="2160"/>
          </w:tcPr>
          <w:p>
            <w:r>
              <w:t>$32K</w:t>
            </w:r>
          </w:p>
        </w:tc>
        <w:tc>
          <w:tcPr>
            <w:tcW w:type="dxa" w:w="2160"/>
          </w:tcPr>
          <w:p>
            <w:r>
              <w:t>-40%</w:t>
            </w:r>
          </w:p>
        </w:tc>
      </w:tr>
      <w:tr>
        <w:tc>
          <w:tcPr>
            <w:tcW w:type="dxa" w:w="2160"/>
          </w:tcPr>
          <w:p>
            <w:r>
              <w:t>Brand regs</w:t>
            </w:r>
          </w:p>
        </w:tc>
        <w:tc>
          <w:tcPr>
            <w:tcW w:type="dxa" w:w="2160"/>
          </w:tcPr>
          <w:p>
            <w:r>
              <w:t>137</w:t>
            </w:r>
          </w:p>
        </w:tc>
        <w:tc>
          <w:tcPr>
            <w:tcW w:type="dxa" w:w="2160"/>
          </w:tcPr>
          <w:p>
            <w:r>
              <w:t>83</w:t>
            </w:r>
          </w:p>
        </w:tc>
        <w:tc>
          <w:tcPr>
            <w:tcW w:type="dxa" w:w="2160"/>
          </w:tcPr>
          <w:p>
            <w:r>
              <w:t>+65%</w:t>
            </w:r>
          </w:p>
        </w:tc>
      </w:tr>
      <w:tr>
        <w:tc>
          <w:tcPr>
            <w:tcW w:type="dxa" w:w="2160"/>
          </w:tcPr>
          <w:p>
            <w:r>
              <w:t>NB regs</w:t>
            </w:r>
          </w:p>
        </w:tc>
        <w:tc>
          <w:tcPr>
            <w:tcW w:type="dxa" w:w="2160"/>
          </w:tcPr>
          <w:p>
            <w:r>
              <w:t>101</w:t>
            </w:r>
          </w:p>
        </w:tc>
        <w:tc>
          <w:tcPr>
            <w:tcW w:type="dxa" w:w="2160"/>
          </w:tcPr>
          <w:p>
            <w:r>
              <w:t>109</w:t>
            </w:r>
          </w:p>
        </w:tc>
        <w:tc>
          <w:tcPr>
            <w:tcW w:type="dxa" w:w="2160"/>
          </w:tcPr>
          <w:p>
            <w:r>
              <w:t>-7%</w:t>
            </w:r>
          </w:p>
        </w:tc>
      </w:tr>
      <w:tr>
        <w:tc>
          <w:tcPr>
            <w:tcW w:type="dxa" w:w="2160"/>
          </w:tcPr>
          <w:p>
            <w:r>
              <w:t>NB CPA</w:t>
            </w:r>
          </w:p>
        </w:tc>
        <w:tc>
          <w:tcPr>
            <w:tcW w:type="dxa" w:w="2160"/>
          </w:tcPr>
          <w:p>
            <w:r>
              <w:t>$159</w:t>
            </w:r>
          </w:p>
        </w:tc>
        <w:tc>
          <w:tcPr>
            <w:tcW w:type="dxa" w:w="2160"/>
          </w:tcPr>
          <w:p>
            <w:r>
              <w:t>$291</w:t>
            </w:r>
          </w:p>
        </w:tc>
        <w:tc>
          <w:tcPr>
            <w:tcW w:type="dxa" w:w="2160"/>
          </w:tcPr>
          <w:p>
            <w:r>
              <w:t>-45%</w:t>
            </w:r>
          </w:p>
        </w:tc>
      </w:tr>
    </w:tbl>
    <w:p>
      <w:pPr>
        <w:pStyle w:val="Heading2"/>
      </w:pPr>
      <w:r>
        <w:t>Appendix C: March 2026 Actuals (closed)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March Actual</w:t>
            </w:r>
          </w:p>
        </w:tc>
        <w:tc>
          <w:tcPr>
            <w:tcW w:type="dxa" w:w="2160"/>
          </w:tcPr>
          <w:p>
            <w:r>
              <w:t>OP2 Target</w:t>
            </w:r>
          </w:p>
        </w:tc>
        <w:tc>
          <w:tcPr>
            <w:tcW w:type="dxa" w:w="2160"/>
          </w:tcPr>
          <w:p>
            <w:r>
              <w:t>vs OP2</w:t>
            </w:r>
          </w:p>
        </w:tc>
      </w:tr>
      <w:tr>
        <w:tc>
          <w:tcPr>
            <w:tcW w:type="dxa" w:w="2160"/>
          </w:tcPr>
          <w:p>
            <w:r>
              <w:t>Registrations</w:t>
            </w:r>
          </w:p>
        </w:tc>
        <w:tc>
          <w:tcPr>
            <w:tcW w:type="dxa" w:w="2160"/>
          </w:tcPr>
          <w:p>
            <w:r>
              <w:t>1,483</w:t>
            </w:r>
          </w:p>
        </w:tc>
        <w:tc>
          <w:tcPr>
            <w:tcW w:type="dxa" w:w="2160"/>
          </w:tcPr>
          <w:p>
            <w:r>
              <w:t>859</w:t>
            </w:r>
          </w:p>
        </w:tc>
        <w:tc>
          <w:tcPr>
            <w:tcW w:type="dxa" w:w="2160"/>
          </w:tcPr>
          <w:p>
            <w:r>
              <w:t>+73%</w:t>
            </w:r>
          </w:p>
        </w:tc>
      </w:tr>
      <w:tr>
        <w:tc>
          <w:tcPr>
            <w:tcW w:type="dxa" w:w="2160"/>
          </w:tcPr>
          <w:p>
            <w:r>
              <w:t>Spend</w:t>
            </w:r>
          </w:p>
        </w:tc>
        <w:tc>
          <w:tcPr>
            <w:tcW w:type="dxa" w:w="2160"/>
          </w:tcPr>
          <w:p>
            <w:r>
              <w:t>$96K</w:t>
            </w:r>
          </w:p>
        </w:tc>
        <w:tc>
          <w:tcPr>
            <w:tcW w:type="dxa" w:w="2160"/>
          </w:tcPr>
          <w:p>
            <w:r>
              <w:t>$57K</w:t>
            </w:r>
          </w:p>
        </w:tc>
        <w:tc>
          <w:tcPr>
            <w:tcW w:type="dxa" w:w="2160"/>
          </w:tcPr>
          <w:p>
            <w:r>
              <w:t>+67%</w:t>
            </w:r>
          </w:p>
        </w:tc>
      </w:tr>
      <w:tr>
        <w:tc>
          <w:tcPr>
            <w:tcW w:type="dxa" w:w="2160"/>
          </w:tcPr>
          <w:p>
            <w:r>
              <w:t>CPA</w:t>
            </w:r>
          </w:p>
        </w:tc>
        <w:tc>
          <w:tcPr>
            <w:tcW w:type="dxa" w:w="2160"/>
          </w:tcPr>
          <w:p>
            <w:r>
              <w:t>$64</w:t>
            </w:r>
          </w:p>
        </w:tc>
        <w:tc>
          <w:tcPr>
            <w:tcW w:type="dxa" w:w="2160"/>
          </w:tcPr>
          <w:p>
            <w:r>
              <w:t>$66</w:t>
            </w:r>
          </w:p>
        </w:tc>
        <w:tc>
          <w:tcPr>
            <w:tcW w:type="dxa" w:w="2160"/>
          </w:tcPr>
          <w:p>
            <w:r>
              <w:t>-3% (better)</w:t>
            </w:r>
          </w:p>
        </w:tc>
      </w:tr>
      <w:tr>
        <w:tc>
          <w:tcPr>
            <w:tcW w:type="dxa" w:w="2160"/>
          </w:tcPr>
          <w:p>
            <w:r>
              <w:t>ie%CCP</w:t>
            </w:r>
          </w:p>
        </w:tc>
        <w:tc>
          <w:tcPr>
            <w:tcW w:type="dxa" w:w="2160"/>
          </w:tcPr>
          <w:p>
            <w:r>
              <w:t>~98% MTD</w:t>
            </w:r>
          </w:p>
        </w:tc>
        <w:tc>
          <w:tcPr>
            <w:tcW w:type="dxa" w:w="2160"/>
          </w:tcPr>
          <w:p>
            <w:r>
              <w:t>100%</w:t>
            </w:r>
          </w:p>
        </w:tc>
        <w:tc>
          <w:tcPr>
            <w:tcW w:type="dxa" w:w="2160"/>
          </w:tcPr>
          <w:p>
            <w:r>
              <w:t>On target</w:t>
            </w:r>
          </w:p>
        </w:tc>
      </w:tr>
    </w:tbl>
    <w:p>
      <w:pPr>
        <w:pStyle w:val="Heading2"/>
      </w:pPr>
      <w:r>
        <w:t>Appendix D: FY26 Scenario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OP2</w:t>
            </w:r>
          </w:p>
        </w:tc>
        <w:tc>
          <w:tcPr>
            <w:tcW w:type="dxa" w:w="2160"/>
          </w:tcPr>
          <w:p>
            <w:r>
              <w:t>Scenario 1 (100% ie%CCP)</w:t>
            </w:r>
          </w:p>
        </w:tc>
        <w:tc>
          <w:tcPr>
            <w:tcW w:type="dxa" w:w="2160"/>
          </w:tcPr>
          <w:p>
            <w:r>
              <w:t>Scenario 2 (75% ie%CCP)</w:t>
            </w:r>
          </w:p>
        </w:tc>
      </w:tr>
      <w:tr>
        <w:tc>
          <w:tcPr>
            <w:tcW w:type="dxa" w:w="2160"/>
          </w:tcPr>
          <w:p>
            <w:r>
              <w:t>Total spend</w:t>
            </w:r>
          </w:p>
        </w:tc>
        <w:tc>
          <w:tcPr>
            <w:tcW w:type="dxa" w:w="2160"/>
          </w:tcPr>
          <w:p>
            <w:r>
              <w:t>$542K</w:t>
            </w:r>
          </w:p>
        </w:tc>
        <w:tc>
          <w:tcPr>
            <w:tcW w:type="dxa" w:w="2160"/>
          </w:tcPr>
          <w:p>
            <w:r>
              <w:t>$959K (+77%)</w:t>
            </w:r>
          </w:p>
        </w:tc>
        <w:tc>
          <w:tcPr>
            <w:tcW w:type="dxa" w:w="2160"/>
          </w:tcPr>
          <w:p>
            <w:r>
              <w:t>$745K (+37%)</w:t>
            </w:r>
          </w:p>
        </w:tc>
      </w:tr>
      <w:tr>
        <w:tc>
          <w:tcPr>
            <w:tcW w:type="dxa" w:w="2160"/>
          </w:tcPr>
          <w:p>
            <w:r>
              <w:t>Total regs</w:t>
            </w:r>
          </w:p>
        </w:tc>
        <w:tc>
          <w:tcPr>
            <w:tcW w:type="dxa" w:w="2160"/>
          </w:tcPr>
          <w:p>
            <w:r>
              <w:t>11,178</w:t>
            </w:r>
          </w:p>
        </w:tc>
        <w:tc>
          <w:tcPr>
            <w:tcW w:type="dxa" w:w="2160"/>
          </w:tcPr>
          <w:p>
            <w:r>
              <w:t>15,051 (+35%)</w:t>
            </w:r>
          </w:p>
        </w:tc>
        <w:tc>
          <w:tcPr>
            <w:tcW w:type="dxa" w:w="2160"/>
          </w:tcPr>
          <w:p>
            <w:r>
              <w:t>13,948 (+25%)</w:t>
            </w:r>
          </w:p>
        </w:tc>
      </w:tr>
      <w:tr>
        <w:tc>
          <w:tcPr>
            <w:tcW w:type="dxa" w:w="2160"/>
          </w:tcPr>
          <w:p>
            <w:r>
              <w:t>Blended CPA</w:t>
            </w:r>
          </w:p>
        </w:tc>
        <w:tc>
          <w:tcPr>
            <w:tcW w:type="dxa" w:w="2160"/>
          </w:tcPr>
          <w:p>
            <w:r>
              <w:t>$48</w:t>
            </w:r>
          </w:p>
        </w:tc>
        <w:tc>
          <w:tcPr>
            <w:tcW w:type="dxa" w:w="2160"/>
          </w:tcPr>
          <w:p>
            <w:r>
              <w:t>$64</w:t>
            </w:r>
          </w:p>
        </w:tc>
        <w:tc>
          <w:tcPr>
            <w:tcW w:type="dxa" w:w="2160"/>
          </w:tcPr>
          <w:p>
            <w:r>
              <w:t>$53</w:t>
            </w:r>
          </w:p>
        </w:tc>
      </w:tr>
      <w:tr>
        <w:tc>
          <w:tcPr>
            <w:tcW w:type="dxa" w:w="2160"/>
          </w:tcPr>
          <w:p>
            <w:r>
              <w:t>ie%CCP</w:t>
            </w:r>
          </w:p>
        </w:tc>
        <w:tc>
          <w:tcPr>
            <w:tcW w:type="dxa" w:w="2160"/>
          </w:tcPr>
          <w:p>
            <w:r>
              <w:t>~75%</w:t>
            </w:r>
          </w:p>
        </w:tc>
        <w:tc>
          <w:tcPr>
            <w:tcW w:type="dxa" w:w="2160"/>
          </w:tcPr>
          <w:p>
            <w:r>
              <w:t>~96%</w:t>
            </w:r>
          </w:p>
        </w:tc>
        <w:tc>
          <w:tcPr>
            <w:tcW w:type="dxa" w:w="2160"/>
          </w:tcPr>
          <w:p>
            <w:r>
              <w:t>~79%</w:t>
            </w:r>
          </w:p>
        </w:tc>
      </w:tr>
    </w:tbl>
    <w:p>
      <w:r>
        <w:t>Finance allocation: $1.8M. OP2 spend is the ie%CCP-constrained plan. Both upside scenarios are within the finance envelope.</w:t>
      </w:r>
    </w:p>
    <w:p>
      <w:pPr>
        <w:pStyle w:val="Heading2"/>
      </w:pPr>
      <w:r>
        <w:t>Appendix E: Change Log (2026 YTD)</w:t>
      </w:r>
    </w:p>
    <w:tbl>
      <w:tblPr>
        <w:tblStyle w:val="TableGrid"/>
        <w:tblW w:type="auto" w:w="0"/>
        <w:tblLook w:firstColumn="1" w:firstRow="1" w:lastColumn="0" w:lastRow="0" w:noHBand="0" w:noVBand="1" w:val="04A0"/>
      </w:tblPr>
      <w:tblGrid>
        <w:gridCol w:w="2880"/>
        <w:gridCol w:w="2880"/>
        <w:gridCol w:w="2880"/>
      </w:tblGrid>
      <w:tr>
        <w:tc>
          <w:tcPr>
            <w:tcW w:type="dxa" w:w="2880"/>
          </w:tcPr>
          <w:p>
            <w:r>
              <w:t>Date</w:t>
            </w:r>
          </w:p>
        </w:tc>
        <w:tc>
          <w:tcPr>
            <w:tcW w:type="dxa" w:w="2880"/>
          </w:tcPr>
          <w:p>
            <w:r>
              <w:t>Change</w:t>
            </w:r>
          </w:p>
        </w:tc>
        <w:tc>
          <w:tcPr>
            <w:tcW w:type="dxa" w:w="2880"/>
          </w:tcPr>
          <w:p>
            <w:r>
              <w:t>Owner</w:t>
            </w:r>
          </w:p>
        </w:tc>
      </w:tr>
      <w:tr>
        <w:tc>
          <w:tcPr>
            <w:tcW w:type="dxa" w:w="2880"/>
          </w:tcPr>
          <w:p>
            <w:r>
              <w:t>1/12</w:t>
            </w:r>
          </w:p>
        </w:tc>
        <w:tc>
          <w:tcPr>
            <w:tcW w:type="dxa" w:w="2880"/>
          </w:tcPr>
          <w:p>
            <w:r>
              <w:t>Increased budgets in Brand Phrase and NB to $2K</w:t>
            </w:r>
          </w:p>
        </w:tc>
        <w:tc>
          <w:tcPr>
            <w:tcW w:type="dxa" w:w="2880"/>
          </w:tcPr>
          <w:p>
            <w:r>
              <w:t>Richard</w:t>
            </w:r>
          </w:p>
        </w:tc>
      </w:tr>
      <w:tr>
        <w:tc>
          <w:tcPr>
            <w:tcW w:type="dxa" w:w="2880"/>
          </w:tcPr>
          <w:p>
            <w:r>
              <w:t>1/20</w:t>
            </w:r>
          </w:p>
        </w:tc>
        <w:tc>
          <w:tcPr>
            <w:tcW w:type="dxa" w:w="2880"/>
          </w:tcPr>
          <w:p>
            <w:r>
              <w:t>Increased Brand Plus max CPC from 12 to 18</w:t>
            </w:r>
          </w:p>
        </w:tc>
        <w:tc>
          <w:tcPr>
            <w:tcW w:type="dxa" w:w="2880"/>
          </w:tcPr>
          <w:p>
            <w:r>
              <w:t>Richard</w:t>
            </w:r>
          </w:p>
        </w:tc>
      </w:tr>
      <w:tr>
        <w:tc>
          <w:tcPr>
            <w:tcW w:type="dxa" w:w="2880"/>
          </w:tcPr>
          <w:p>
            <w:r>
              <w:t>1/20</w:t>
            </w:r>
          </w:p>
        </w:tc>
        <w:tc>
          <w:tcPr>
            <w:tcW w:type="dxa" w:w="2880"/>
          </w:tcPr>
          <w:p>
            <w:r>
              <w:t>Increased NB target budgets +51% ($9.9K→$15K/wk)</w:t>
            </w:r>
          </w:p>
        </w:tc>
        <w:tc>
          <w:tcPr>
            <w:tcW w:type="dxa" w:w="2880"/>
          </w:tcPr>
          <w:p>
            <w:r>
              <w:t>Richard</w:t>
            </w:r>
          </w:p>
        </w:tc>
      </w:tr>
      <w:tr>
        <w:tc>
          <w:tcPr>
            <w:tcW w:type="dxa" w:w="2880"/>
          </w:tcPr>
          <w:p>
            <w:r>
              <w:t>2/3</w:t>
            </w:r>
          </w:p>
        </w:tc>
        <w:tc>
          <w:tcPr>
            <w:tcW w:type="dxa" w:w="2880"/>
          </w:tcPr>
          <w:p>
            <w:r>
              <w:t>Decreased NB budget -19% to align with Feb budget and 100% ie%CCP</w:t>
            </w:r>
          </w:p>
        </w:tc>
        <w:tc>
          <w:tcPr>
            <w:tcW w:type="dxa" w:w="2880"/>
          </w:tcPr>
          <w:p>
            <w:r>
              <w:t>Richard</w:t>
            </w:r>
          </w:p>
        </w:tc>
      </w:tr>
      <w:tr>
        <w:tc>
          <w:tcPr>
            <w:tcW w:type="dxa" w:w="2880"/>
          </w:tcPr>
          <w:p>
            <w:r>
              <w:t>2/10</w:t>
            </w:r>
          </w:p>
        </w:tc>
        <w:tc>
          <w:tcPr>
            <w:tcW w:type="dxa" w:w="2880"/>
          </w:tcPr>
          <w:p>
            <w:r>
              <w:t>Changed Generic to CPT bidding; increased NB budget +5%</w:t>
            </w:r>
          </w:p>
        </w:tc>
        <w:tc>
          <w:tcPr>
            <w:tcW w:type="dxa" w:w="2880"/>
          </w:tcPr>
          <w:p>
            <w:r>
              <w:t>Richard</w:t>
            </w:r>
          </w:p>
        </w:tc>
      </w:tr>
      <w:tr>
        <w:tc>
          <w:tcPr>
            <w:tcW w:type="dxa" w:w="2880"/>
          </w:tcPr>
          <w:p>
            <w:r>
              <w:t>2/23</w:t>
            </w:r>
          </w:p>
        </w:tc>
        <w:tc>
          <w:tcPr>
            <w:tcW w:type="dxa" w:w="2880"/>
          </w:tcPr>
          <w:p>
            <w:r>
              <w:t>Transitioned all NB to CPT portfolio; targeting +30% spend</w:t>
            </w:r>
          </w:p>
        </w:tc>
        <w:tc>
          <w:tcPr>
            <w:tcW w:type="dxa" w:w="2880"/>
          </w:tcPr>
          <w:p>
            <w:r>
              <w:t>Richard</w:t>
            </w:r>
          </w:p>
        </w:tc>
      </w:tr>
      <w:tr>
        <w:tc>
          <w:tcPr>
            <w:tcW w:type="dxa" w:w="2880"/>
          </w:tcPr>
          <w:p>
            <w:r>
              <w:t>3/5</w:t>
            </w:r>
          </w:p>
        </w:tc>
        <w:tc>
          <w:tcPr>
            <w:tcW w:type="dxa" w:w="2880"/>
          </w:tcPr>
          <w:p>
            <w:r>
              <w:t>Added negatives to improve query routing (Generic + Brand Phrase)</w:t>
            </w:r>
          </w:p>
        </w:tc>
        <w:tc>
          <w:tcPr>
            <w:tcW w:type="dxa" w:w="2880"/>
          </w:tcPr>
          <w:p>
            <w:r>
              <w:t>Richard</w:t>
            </w:r>
          </w:p>
        </w:tc>
      </w:tr>
      <w:tr>
        <w:tc>
          <w:tcPr>
            <w:tcW w:type="dxa" w:w="2880"/>
          </w:tcPr>
          <w:p>
            <w:r>
              <w:t>3/5</w:t>
            </w:r>
          </w:p>
        </w:tc>
        <w:tc>
          <w:tcPr>
            <w:tcW w:type="dxa" w:w="2880"/>
          </w:tcPr>
          <w:p>
            <w:r>
              <w:t>Left budgets/bids unchanged based on weekly performance</w:t>
            </w:r>
          </w:p>
        </w:tc>
        <w:tc>
          <w:tcPr>
            <w:tcW w:type="dxa" w:w="2880"/>
          </w:tcPr>
          <w:p>
            <w:r>
              <w:t>Richard</w:t>
            </w:r>
          </w:p>
        </w:tc>
      </w:tr>
    </w:tbl>
    <w:p>
      <w:pPr>
        <w:pStyle w:val="Heading2"/>
      </w:pPr>
      <w:r>
        <w:t>Appendix F: Variance Bridge — Data Source Reconciliation</w:t>
      </w:r>
    </w:p>
    <w:p>
      <w:r>
        <w:t>MX currently operates without OCI (Online Conversion Integration). All conversion data flows through Google Ads native tracking. No variance bridge between advertising platform and internal ERP is required at this time. When OCI launches for MX (timeline TBD, no MCC created), this section will document the expected 5–15% discrepancy between Ordered Product Sales and Shipped Product Sales, and the reconciliation methodology.</w:t>
      </w:r>
    </w:p>
    <w:p>
      <w:r>
        <w:t>**Known data limitation:** ie%CCP ratios are calculated from dashboard CCP values (Brand $90, NB $30). If finance revises CCP downward, ie%CCP tightens and NB capacity shrinks. The dashboard ingester corrected an ie%CCP calculation bug on 3/30 (was reading CPA instead of ie%CCP ratios).</w:t>
      </w:r>
    </w:p>
    <w:p>
      <w:r>
        <w:t>**Graph API concurrency protocol:** When the agent swarm updates this file on SharePoint, it must: (1) read the current eTag of the .docx before initiating XML patching, (2) if the eTag has changed during generation (another user or agent modified the file), fail the update and retry from fetch, (3) respect the 5MB file size limit — current .docx is ~44KB, well within bounds. Authentication uses the device code flow configured in the SharePoint MCP server.</w:t>
      </w:r>
    </w:p>
    <w:p>
      <w:r>
        <w:t>---</w:t>
      </w:r>
    </w:p>
    <w:p>
      <w:pPr>
        <w:pStyle w:val="Heading2"/>
      </w:pPr>
      <w:r>
        <w:t>Appendix H: Placeholder Schema for Automated Refresh</w:t>
      </w:r>
    </w:p>
    <w:p>
      <w:r>
        <w:t>This schema defines the contract between the Kiro agent swarm (LLM output) and the DOCX template (deterministic patching). The agent generates a JSON payload mapping these keys to generated strings. A patching script replaces the placeholders in the Word XML without touching surrounding formatting.</w:t>
      </w:r>
    </w:p>
    <w:p>
      <w:pPr>
        <w:pStyle w:val="Heading3"/>
      </w:pPr>
      <w:r>
        <w:t>Placeholder Taxonomy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Placeholder Tag</w:t>
            </w:r>
          </w:p>
        </w:tc>
        <w:tc>
          <w:tcPr>
            <w:tcW w:type="dxa" w:w="2160"/>
          </w:tcPr>
          <w:p>
            <w:r>
              <w:t>Section</w:t>
            </w:r>
          </w:p>
        </w:tc>
        <w:tc>
          <w:tcPr>
            <w:tcW w:type="dxa" w:w="2160"/>
          </w:tcPr>
          <w:p>
            <w:r>
              <w:t>Data Source</w:t>
            </w:r>
          </w:p>
        </w:tc>
        <w:tc>
          <w:tcPr>
            <w:tcW w:type="dxa" w:w="2160"/>
          </w:tcPr>
          <w:p>
            <w:r>
              <w:t>Update Cadence</w:t>
            </w:r>
          </w:p>
        </w:tc>
      </w:tr>
      <w:tr>
        <w:tc>
          <w:tcPr>
            <w:tcW w:type="dxa" w:w="2160"/>
          </w:tcPr>
          <w:p>
            <w:r>
              <w:t>`{{REPORTING_PERIOD}}`</w:t>
            </w:r>
          </w:p>
        </w:tc>
        <w:tc>
          <w:tcPr>
            <w:tcW w:type="dxa" w:w="2160"/>
          </w:tcPr>
          <w:p>
            <w:r>
              <w:t>Header</w:t>
            </w:r>
          </w:p>
        </w:tc>
        <w:tc>
          <w:tcPr>
            <w:tcW w:type="dxa" w:w="2160"/>
          </w:tcPr>
          <w:p>
            <w:r>
              <w:t>Calendar + dashboard week</w:t>
            </w:r>
          </w:p>
        </w:tc>
        <w:tc>
          <w:tcPr>
            <w:tcW w:type="dxa" w:w="2160"/>
          </w:tcPr>
          <w:p>
            <w:r>
              <w:t>Weekly</w:t>
            </w:r>
          </w:p>
        </w:tc>
      </w:tr>
      <w:tr>
        <w:tc>
          <w:tcPr>
            <w:tcW w:type="dxa" w:w="2160"/>
          </w:tcPr>
          <w:p>
            <w:r>
              <w:t>`{{INTRO_PARAGRAPH}}`</w:t>
            </w:r>
          </w:p>
        </w:tc>
        <w:tc>
          <w:tcPr>
            <w:tcW w:type="dxa" w:w="2160"/>
          </w:tcPr>
          <w:p>
            <w:r>
              <w:t>Introduction</w:t>
            </w:r>
          </w:p>
        </w:tc>
        <w:tc>
          <w:tcPr>
            <w:tcW w:type="dxa" w:w="2160"/>
          </w:tcPr>
          <w:p>
            <w:r>
              <w:t>Semi-static; update on stakeholder/structural changes</w:t>
            </w:r>
          </w:p>
        </w:tc>
        <w:tc>
          <w:tcPr>
            <w:tcW w:type="dxa" w:w="2160"/>
          </w:tcPr>
          <w:p>
            <w:r>
              <w:t>Monthly</w:t>
            </w:r>
          </w:p>
        </w:tc>
      </w:tr>
      <w:tr>
        <w:tc>
          <w:tcPr>
            <w:tcW w:type="dxa" w:w="2160"/>
          </w:tcPr>
          <w:p>
            <w:r>
              <w:t>`{{SOTB_PARAGRAPH_1}}`</w:t>
            </w:r>
          </w:p>
        </w:tc>
        <w:tc>
          <w:tcPr>
            <w:tcW w:type="dxa" w:w="2160"/>
          </w:tcPr>
          <w:p>
            <w:r>
              <w:t>State of Business — headline</w:t>
            </w:r>
          </w:p>
        </w:tc>
        <w:tc>
          <w:tcPr>
            <w:tcW w:type="dxa" w:w="2160"/>
          </w:tcPr>
          <w:p>
            <w:r>
              <w:t>Weekly metrics JSON</w:t>
            </w:r>
          </w:p>
        </w:tc>
        <w:tc>
          <w:tcPr>
            <w:tcW w:type="dxa" w:w="2160"/>
          </w:tcPr>
          <w:p>
            <w:r>
              <w:t>Weekly</w:t>
            </w:r>
          </w:p>
        </w:tc>
      </w:tr>
      <w:tr>
        <w:tc>
          <w:tcPr>
            <w:tcW w:type="dxa" w:w="2160"/>
          </w:tcPr>
          <w:p>
            <w:r>
              <w:t>`{{SOTB_INPUT_TABLE}}`</w:t>
            </w:r>
          </w:p>
        </w:tc>
        <w:tc>
          <w:tcPr>
            <w:tcW w:type="dxa" w:w="2160"/>
          </w:tcPr>
          <w:p>
            <w:r>
              <w:t>State of Business — input metrics</w:t>
            </w:r>
          </w:p>
        </w:tc>
        <w:tc>
          <w:tcPr>
            <w:tcW w:type="dxa" w:w="2160"/>
          </w:tcPr>
          <w:p>
            <w:r>
              <w:t>Weekly metrics JSON</w:t>
            </w:r>
          </w:p>
        </w:tc>
        <w:tc>
          <w:tcPr>
            <w:tcW w:type="dxa" w:w="2160"/>
          </w:tcPr>
          <w:p>
            <w:r>
              <w:t>Weekly</w:t>
            </w:r>
          </w:p>
        </w:tc>
      </w:tr>
      <w:tr>
        <w:tc>
          <w:tcPr>
            <w:tcW w:type="dxa" w:w="2160"/>
          </w:tcPr>
          <w:p>
            <w:r>
              <w:t>`{{SOTB_OUTPUT_TABLE}}`</w:t>
            </w:r>
          </w:p>
        </w:tc>
        <w:tc>
          <w:tcPr>
            <w:tcW w:type="dxa" w:w="2160"/>
          </w:tcPr>
          <w:p>
            <w:r>
              <w:t>State of Business — output metrics</w:t>
            </w:r>
          </w:p>
        </w:tc>
        <w:tc>
          <w:tcPr>
            <w:tcW w:type="dxa" w:w="2160"/>
          </w:tcPr>
          <w:p>
            <w:r>
              <w:t>Weekly metrics JSON</w:t>
            </w:r>
          </w:p>
        </w:tc>
        <w:tc>
          <w:tcPr>
            <w:tcW w:type="dxa" w:w="2160"/>
          </w:tcPr>
          <w:p>
            <w:r>
              <w:t>Weekly</w:t>
            </w:r>
          </w:p>
        </w:tc>
      </w:tr>
      <w:tr>
        <w:tc>
          <w:tcPr>
            <w:tcW w:type="dxa" w:w="2160"/>
          </w:tcPr>
          <w:p>
            <w:r>
              <w:t>`{{SOTB_ANALYSIS}}`</w:t>
            </w:r>
          </w:p>
        </w:tc>
        <w:tc>
          <w:tcPr>
            <w:tcW w:type="dxa" w:w="2160"/>
          </w:tcPr>
          <w:p>
            <w:r>
              <w:t>State of Business — narrative bridge</w:t>
            </w:r>
          </w:p>
        </w:tc>
        <w:tc>
          <w:tcPr>
            <w:tcW w:type="dxa" w:w="2160"/>
          </w:tcPr>
          <w:p>
            <w:r>
              <w:t>LLM synthesis of input→output causation</w:t>
            </w:r>
          </w:p>
        </w:tc>
        <w:tc>
          <w:tcPr>
            <w:tcW w:type="dxa" w:w="2160"/>
          </w:tcPr>
          <w:p>
            <w:r>
              <w:t>Weekly</w:t>
            </w:r>
          </w:p>
        </w:tc>
      </w:tr>
      <w:tr>
        <w:tc>
          <w:tcPr>
            <w:tcW w:type="dxa" w:w="2160"/>
          </w:tcPr>
          <w:p>
            <w:r>
              <w:t>`{{SOTB_YOY_NARRATIVE}}`</w:t>
            </w:r>
          </w:p>
        </w:tc>
        <w:tc>
          <w:tcPr>
            <w:tcW w:type="dxa" w:w="2160"/>
          </w:tcPr>
          <w:p>
            <w:r>
              <w:t>State of Business — YoY context</w:t>
            </w:r>
          </w:p>
        </w:tc>
        <w:tc>
          <w:tcPr>
            <w:tcW w:type="dxa" w:w="2160"/>
          </w:tcPr>
          <w:p>
            <w:r>
              <w:t>Weekly metrics + LY comparison</w:t>
            </w:r>
          </w:p>
        </w:tc>
        <w:tc>
          <w:tcPr>
            <w:tcW w:type="dxa" w:w="2160"/>
          </w:tcPr>
          <w:p>
            <w:r>
              <w:t>Weekly</w:t>
            </w:r>
          </w:p>
        </w:tc>
      </w:tr>
      <w:tr>
        <w:tc>
          <w:tcPr>
            <w:tcW w:type="dxa" w:w="2160"/>
          </w:tcPr>
          <w:p>
            <w:r>
              <w:t>`{{SOTB_ANOMALY_FLAG}}`</w:t>
            </w:r>
          </w:p>
        </w:tc>
        <w:tc>
          <w:tcPr>
            <w:tcW w:type="dxa" w:w="2160"/>
          </w:tcPr>
          <w:p>
            <w:r>
              <w:t>State of Business — anomaly detection</w:t>
            </w:r>
          </w:p>
        </w:tc>
        <w:tc>
          <w:tcPr>
            <w:tcW w:type="dxa" w:w="2160"/>
          </w:tcPr>
          <w:p>
            <w:r>
              <w:t>Anomaly engine (&gt;20% deviation from 8wk avg)</w:t>
            </w:r>
          </w:p>
        </w:tc>
        <w:tc>
          <w:tcPr>
            <w:tcW w:type="dxa" w:w="2160"/>
          </w:tcPr>
          <w:p>
            <w:r>
              <w:t>Weekly</w:t>
            </w:r>
          </w:p>
        </w:tc>
      </w:tr>
      <w:tr>
        <w:tc>
          <w:tcPr>
            <w:tcW w:type="dxa" w:w="2160"/>
          </w:tcPr>
          <w:p>
            <w:r>
              <w:t>`{{SOTB_NULL_CASE}}`</w:t>
            </w:r>
          </w:p>
        </w:tc>
        <w:tc>
          <w:tcPr>
            <w:tcW w:type="dxa" w:w="2160"/>
          </w:tcPr>
          <w:p>
            <w:r>
              <w:t>State of Business — cost of inaction</w:t>
            </w:r>
          </w:p>
        </w:tc>
        <w:tc>
          <w:tcPr>
            <w:tcW w:type="dxa" w:w="2160"/>
          </w:tcPr>
          <w:p>
            <w:r>
              <w:t>ie%CCP model + budget constraints</w:t>
            </w:r>
          </w:p>
        </w:tc>
        <w:tc>
          <w:tcPr>
            <w:tcW w:type="dxa" w:w="2160"/>
          </w:tcPr>
          <w:p>
            <w:r>
              <w:t>Weekly</w:t>
            </w:r>
          </w:p>
        </w:tc>
      </w:tr>
      <w:tr>
        <w:tc>
          <w:tcPr>
            <w:tcW w:type="dxa" w:w="2160"/>
          </w:tcPr>
          <w:p>
            <w:r>
              <w:t>`{{LESSONS_1}}`</w:t>
            </w:r>
          </w:p>
        </w:tc>
        <w:tc>
          <w:tcPr>
            <w:tcW w:type="dxa" w:w="2160"/>
          </w:tcPr>
          <w:p>
            <w:r>
              <w:t>Lessons Learned — insight 1</w:t>
            </w:r>
          </w:p>
        </w:tc>
        <w:tc>
          <w:tcPr>
            <w:tcW w:type="dxa" w:w="2160"/>
          </w:tcPr>
          <w:p>
            <w:r>
              <w:t>LLM synthesis of trailing 3-week window</w:t>
            </w:r>
          </w:p>
        </w:tc>
        <w:tc>
          <w:tcPr>
            <w:tcW w:type="dxa" w:w="2160"/>
          </w:tcPr>
          <w:p>
            <w:r>
              <w:t>Weekly</w:t>
            </w:r>
          </w:p>
        </w:tc>
      </w:tr>
      <w:tr>
        <w:tc>
          <w:tcPr>
            <w:tcW w:type="dxa" w:w="2160"/>
          </w:tcPr>
          <w:p>
            <w:r>
              <w:t>`{{LESSONS_2}}`</w:t>
            </w:r>
          </w:p>
        </w:tc>
        <w:tc>
          <w:tcPr>
            <w:tcW w:type="dxa" w:w="2160"/>
          </w:tcPr>
          <w:p>
            <w:r>
              <w:t>Lessons Learned — insight 2</w:t>
            </w:r>
          </w:p>
        </w:tc>
        <w:tc>
          <w:tcPr>
            <w:tcW w:type="dxa" w:w="2160"/>
          </w:tcPr>
          <w:p>
            <w:r>
              <w:t>LLM synthesis</w:t>
            </w:r>
          </w:p>
        </w:tc>
        <w:tc>
          <w:tcPr>
            <w:tcW w:type="dxa" w:w="2160"/>
          </w:tcPr>
          <w:p>
            <w:r>
              <w:t>Weekly</w:t>
            </w:r>
          </w:p>
        </w:tc>
      </w:tr>
      <w:tr>
        <w:tc>
          <w:tcPr>
            <w:tcW w:type="dxa" w:w="2160"/>
          </w:tcPr>
          <w:p>
            <w:r>
              <w:t>`{{LESSONS_3}}`</w:t>
            </w:r>
          </w:p>
        </w:tc>
        <w:tc>
          <w:tcPr>
            <w:tcW w:type="dxa" w:w="2160"/>
          </w:tcPr>
          <w:p>
            <w:r>
              <w:t>Lessons Learned — insight 3</w:t>
            </w:r>
          </w:p>
        </w:tc>
        <w:tc>
          <w:tcPr>
            <w:tcW w:type="dxa" w:w="2160"/>
          </w:tcPr>
          <w:p>
            <w:r>
              <w:t>LLM synthesis</w:t>
            </w:r>
          </w:p>
        </w:tc>
        <w:tc>
          <w:tcPr>
            <w:tcW w:type="dxa" w:w="2160"/>
          </w:tcPr>
          <w:p>
            <w:r>
              <w:t>Weekly</w:t>
            </w:r>
          </w:p>
        </w:tc>
      </w:tr>
      <w:tr>
        <w:tc>
          <w:tcPr>
            <w:tcW w:type="dxa" w:w="2160"/>
          </w:tcPr>
          <w:p>
            <w:r>
              <w:t>`{{PRIORITIES_TABLE}}`</w:t>
            </w:r>
          </w:p>
        </w:tc>
        <w:tc>
          <w:tcPr>
            <w:tcW w:type="dxa" w:w="2160"/>
          </w:tcPr>
          <w:p>
            <w:r>
              <w:t>Strategic Priorities — action table</w:t>
            </w:r>
          </w:p>
        </w:tc>
        <w:tc>
          <w:tcPr>
            <w:tcW w:type="dxa" w:w="2160"/>
          </w:tcPr>
          <w:p>
            <w:r>
              <w:t>Asana tasks + overdue items + calendar</w:t>
            </w:r>
          </w:p>
        </w:tc>
        <w:tc>
          <w:tcPr>
            <w:tcW w:type="dxa" w:w="2160"/>
          </w:tcPr>
          <w:p>
            <w:r>
              <w:t>Daily</w:t>
            </w:r>
          </w:p>
        </w:tc>
      </w:tr>
      <w:tr>
        <w:tc>
          <w:tcPr>
            <w:tcW w:type="dxa" w:w="2160"/>
          </w:tcPr>
          <w:p>
            <w:r>
              <w:t>`{{BLOCKED_ITEMS}}`</w:t>
            </w:r>
          </w:p>
        </w:tc>
        <w:tc>
          <w:tcPr>
            <w:tcW w:type="dxa" w:w="2160"/>
          </w:tcPr>
          <w:p>
            <w:r>
              <w:t>Strategic Priorities — blockers</w:t>
            </w:r>
          </w:p>
        </w:tc>
        <w:tc>
          <w:tcPr>
            <w:tcW w:type="dxa" w:w="2160"/>
          </w:tcPr>
          <w:p>
            <w:r>
              <w:t>Asana blocked tasks</w:t>
            </w:r>
          </w:p>
        </w:tc>
        <w:tc>
          <w:tcPr>
            <w:tcW w:type="dxa" w:w="2160"/>
          </w:tcPr>
          <w:p>
            <w:r>
              <w:t>Daily</w:t>
            </w:r>
          </w:p>
        </w:tc>
      </w:tr>
      <w:tr>
        <w:tc>
          <w:tcPr>
            <w:tcW w:type="dxa" w:w="2160"/>
          </w:tcPr>
          <w:p>
            <w:r>
              <w:t>`{{STAKEHOLDER_ACTIONS}}`</w:t>
            </w:r>
          </w:p>
        </w:tc>
        <w:tc>
          <w:tcPr>
            <w:tcW w:type="dxa" w:w="2160"/>
          </w:tcPr>
          <w:p>
            <w:r>
              <w:t>Strategic Priorities — external deps</w:t>
            </w:r>
          </w:p>
        </w:tc>
        <w:tc>
          <w:tcPr>
            <w:tcW w:type="dxa" w:w="2160"/>
          </w:tcPr>
          <w:p>
            <w:r>
              <w:t>Memory.md relationship graph + Asana</w:t>
            </w:r>
          </w:p>
        </w:tc>
        <w:tc>
          <w:tcPr>
            <w:tcW w:type="dxa" w:w="2160"/>
          </w:tcPr>
          <w:p>
            <w:r>
              <w:t>Daily</w:t>
            </w:r>
          </w:p>
        </w:tc>
      </w:tr>
      <w:tr>
        <w:tc>
          <w:tcPr>
            <w:tcW w:type="dxa" w:w="2160"/>
          </w:tcPr>
          <w:p>
            <w:r>
              <w:t>`{{APPENDIX_A_TREND}}`</w:t>
            </w:r>
          </w:p>
        </w:tc>
        <w:tc>
          <w:tcPr>
            <w:tcW w:type="dxa" w:w="2160"/>
          </w:tcPr>
          <w:p>
            <w:r>
              <w:t>Appendix A — weekly trend table</w:t>
            </w:r>
          </w:p>
        </w:tc>
        <w:tc>
          <w:tcPr>
            <w:tcW w:type="dxa" w:w="2160"/>
          </w:tcPr>
          <w:p>
            <w:r>
              <w:t>DuckDB weekly_metrics</w:t>
            </w:r>
          </w:p>
        </w:tc>
        <w:tc>
          <w:tcPr>
            <w:tcW w:type="dxa" w:w="2160"/>
          </w:tcPr>
          <w:p>
            <w:r>
              <w:t>Weekly</w:t>
            </w:r>
          </w:p>
        </w:tc>
      </w:tr>
      <w:tr>
        <w:tc>
          <w:tcPr>
            <w:tcW w:type="dxa" w:w="2160"/>
          </w:tcPr>
          <w:p>
            <w:r>
              <w:t>`{{APPENDIX_B_YOY}}`</w:t>
            </w:r>
          </w:p>
        </w:tc>
        <w:tc>
          <w:tcPr>
            <w:tcW w:type="dxa" w:w="2160"/>
          </w:tcPr>
          <w:p>
            <w:r>
              <w:t>Appendix B — YoY comparison</w:t>
            </w:r>
          </w:p>
        </w:tc>
        <w:tc>
          <w:tcPr>
            <w:tcW w:type="dxa" w:w="2160"/>
          </w:tcPr>
          <w:p>
            <w:r>
              <w:t>DuckDB weekly_metrics + LY data</w:t>
            </w:r>
          </w:p>
        </w:tc>
        <w:tc>
          <w:tcPr>
            <w:tcW w:type="dxa" w:w="2160"/>
          </w:tcPr>
          <w:p>
            <w:r>
              <w:t>Weekly</w:t>
            </w:r>
          </w:p>
        </w:tc>
      </w:tr>
      <w:tr>
        <w:tc>
          <w:tcPr>
            <w:tcW w:type="dxa" w:w="2160"/>
          </w:tcPr>
          <w:p>
            <w:r>
              <w:t>`{{APPENDIX_C_PROJECTION}}`</w:t>
            </w:r>
          </w:p>
        </w:tc>
        <w:tc>
          <w:tcPr>
            <w:tcW w:type="dxa" w:w="2160"/>
          </w:tcPr>
          <w:p>
            <w:r>
              <w:t>Appendix C — monthly projection</w:t>
            </w:r>
          </w:p>
        </w:tc>
        <w:tc>
          <w:tcPr>
            <w:tcW w:type="dxa" w:w="2160"/>
          </w:tcPr>
          <w:p>
            <w:r>
              <w:t>Analyst projection model</w:t>
            </w:r>
          </w:p>
        </w:tc>
        <w:tc>
          <w:tcPr>
            <w:tcW w:type="dxa" w:w="2160"/>
          </w:tcPr>
          <w:p>
            <w:r>
              <w:t>Weekly</w:t>
            </w:r>
          </w:p>
        </w:tc>
      </w:tr>
      <w:tr>
        <w:tc>
          <w:tcPr>
            <w:tcW w:type="dxa" w:w="2160"/>
          </w:tcPr>
          <w:p>
            <w:r>
              <w:t>`{{APPENDIX_D_SCENARIOS}}`</w:t>
            </w:r>
          </w:p>
        </w:tc>
        <w:tc>
          <w:tcPr>
            <w:tcW w:type="dxa" w:w="2160"/>
          </w:tcPr>
          <w:p>
            <w:r>
              <w:t>Appendix D — FY26 scenarios</w:t>
            </w:r>
          </w:p>
        </w:tc>
        <w:tc>
          <w:tcPr>
            <w:tcW w:type="dxa" w:w="2160"/>
          </w:tcPr>
          <w:p>
            <w:r>
              <w:t>FY26 projection model (static until reforecast)</w:t>
            </w:r>
          </w:p>
        </w:tc>
        <w:tc>
          <w:tcPr>
            <w:tcW w:type="dxa" w:w="2160"/>
          </w:tcPr>
          <w:p>
            <w:r>
              <w:t>Monthly</w:t>
            </w:r>
          </w:p>
        </w:tc>
      </w:tr>
      <w:tr>
        <w:tc>
          <w:tcPr>
            <w:tcW w:type="dxa" w:w="2160"/>
          </w:tcPr>
          <w:p>
            <w:r>
              <w:t>`{{APPENDIX_E_CHANGELOG}}`</w:t>
            </w:r>
          </w:p>
        </w:tc>
        <w:tc>
          <w:tcPr>
            <w:tcW w:type="dxa" w:w="2160"/>
          </w:tcPr>
          <w:p>
            <w:r>
              <w:t>Appendix E — change log</w:t>
            </w:r>
          </w:p>
        </w:tc>
        <w:tc>
          <w:tcPr>
            <w:tcW w:type="dxa" w:w="2160"/>
          </w:tcPr>
          <w:p>
            <w:r>
              <w:t>DuckDB change_log table</w:t>
            </w:r>
          </w:p>
        </w:tc>
        <w:tc>
          <w:tcPr>
            <w:tcW w:type="dxa" w:w="2160"/>
          </w:tcPr>
          <w:p>
            <w:r>
              <w:t>On change</w:t>
            </w:r>
          </w:p>
        </w:tc>
      </w:tr>
    </w:tbl>
    <w:p>
      <w:pPr>
        <w:pStyle w:val="Heading3"/>
      </w:pPr>
      <w:r>
        <w:t>JSON Output Contract</w:t>
      </w:r>
    </w:p>
    <w:p>
      <w:r>
        <w:t>The LLM generates a flat JSON object:</w:t>
      </w:r>
    </w:p>
    <w:p>
      <w:pPr/>
      <w:r>
        <w:rPr>
          <w:rFonts w:ascii="Courier New" w:hAnsi="Courier New"/>
          <w:sz w:val="18"/>
        </w:rPr>
        <w:t>{</w:t>
        <w:br/>
        <w:t xml:space="preserve">  "REPORTING_PERIOD": "Week 14 (Mar 29 – Apr 4, 2026)",</w:t>
        <w:br/>
        <w:t xml:space="preserve">  "SOTB_PARAGRAPH_1": "MX drove 340 registrations...",</w:t>
        <w:br/>
        <w:t xml:space="preserve">  "SOTB_INPUT_TABLE": "[markdown table string]",</w:t>
        <w:br/>
        <w:t xml:space="preserve">  "SOTB_OUTPUT_TABLE": "[markdown table string]",</w:t>
        <w:br/>
        <w:t xml:space="preserve">  "SOTB_ANALYSIS": "The W14 registration change was...",</w:t>
        <w:br/>
        <w:t xml:space="preserve">  "SOTB_YOY_NARRATIVE": "YoY performance...",</w:t>
        <w:br/>
        <w:t xml:space="preserve">  "SOTB_ANOMALY_FLAG": "No anomalies detected.",</w:t>
        <w:br/>
        <w:t xml:space="preserve">  "SOTB_NULL_CASE": "If no adjustments...",</w:t>
        <w:br/>
        <w:t xml:space="preserve">  "LESSONS_1": "First insight...",</w:t>
        <w:br/>
        <w:t xml:space="preserve">  "LESSONS_2": "Second insight...",</w:t>
        <w:br/>
        <w:t xml:space="preserve">  "LESSONS_3": "Third insight...",</w:t>
        <w:br/>
        <w:t xml:space="preserve">  "PRIORITIES_TABLE": "[markdown table string]",</w:t>
        <w:br/>
        <w:t xml:space="preserve">  "BLOCKED_ITEMS": "[markdown list]",</w:t>
        <w:br/>
        <w:t xml:space="preserve">  "STAKEHOLDER_ACTIONS": "[markdown list]"</w:t>
        <w:br/>
        <w:t>}</w:t>
      </w:r>
    </w:p>
    <w:p>
      <w:r>
        <w:t>The patching engine (converter.py → to_docx) converts the markdown strings to DOCX elements and injects them at the tagged locations. Static sections (Goals, Tenets, Appendix D scenarios) are NOT in the JSON — they persist unchanged in the template until manually revised.</w:t>
      </w:r>
    </w:p>
    <w:p>
      <w:pPr>
        <w:pStyle w:val="Heading3"/>
      </w:pPr>
      <w:r>
        <w:t>Quality Gates</w:t>
      </w:r>
    </w:p>
    <w:p>
      <w:r>
        <w:t>Quality gates (schema validation, math verification, weasel-word scan, style/content replication, page limit) defined in `state-file-engine.md`.</w:t>
      </w:r>
    </w:p>
    <w:p>
      <w:r>
        <w:t>---</w:t>
      </w:r>
    </w:p>
    <w:p>
      <w:r>
        <w:t>*This document is designed for daily automated refresh via the Kiro agent swarm. Sections marked with placeholder tags (e.g., {{State_Of_Business_Paragraph_1}}) in the DOCX template version are populated by the LLM output JSON and patched into the Word file via deterministic XML injection. The narrative sections above represent the current human-authored baseline that the agent will maintain and update as new weekly data arrives.*</w:t>
      </w:r>
    </w:p>
    <w:p>
      <w:r>
        <w:t>---</w:t>
      </w:r>
    </w:p>
    <w:p>
      <w:pPr>
        <w:pStyle w:val="Heading2"/>
      </w:pPr>
      <w:r>
        <w:t>Appendix G: Source Links</w:t>
      </w:r>
    </w:p>
    <w:p>
      <w:r>
        <w:t>All source documents referenced in or feeding this state file. Links open in browser.</w:t>
      </w:r>
    </w:p>
    <w:p>
      <w:pPr>
        <w:pStyle w:val="Heading3"/>
      </w:pPr>
      <w:r>
        <w:t>Kiro-Drive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ps-forecast-tracker.xlsx</w:t>
            </w:r>
          </w:p>
        </w:tc>
        <w:tc>
          <w:tcPr>
            <w:tcW w:type="dxa" w:w="2880"/>
          </w:tcPr>
          <w:p>
            <w:r>
              <w:t>WW PS forecast model, budget scenarios</w:t>
            </w:r>
          </w:p>
        </w:tc>
        <w:tc>
          <w:tcPr>
            <w:tcW w:type="dxa" w:w="2880"/>
          </w:tcPr>
          <w:p>
            <w:r>
              <w:t>[Open](https://amazon-my.sharepoint.com/personal/prichwil_amazon_com/Documents/Kiro-Drive/ps-forecast-tracker.xlsx?web=1)</w:t>
            </w:r>
          </w:p>
        </w:tc>
      </w:tr>
      <w:tr>
        <w:tc>
          <w:tcPr>
            <w:tcW w:type="dxa" w:w="2880"/>
          </w:tcPr>
          <w:p>
            <w:r>
              <w:t>ps-testing-dashboard.xlsx</w:t>
            </w:r>
          </w:p>
        </w:tc>
        <w:tc>
          <w:tcPr>
            <w:tcW w:type="dxa" w:w="2880"/>
          </w:tcPr>
          <w:p>
            <w:r>
              <w:t>Active test tracker across all markets</w:t>
            </w:r>
          </w:p>
        </w:tc>
        <w:tc>
          <w:tcPr>
            <w:tcW w:type="dxa" w:w="2880"/>
          </w:tcPr>
          <w:p>
            <w:r>
              <w:t>[Open](https://amazon-my.sharepoint.com/personal/prichwil_amazon_com/Documents/Kiro-Drive/ps-testing-dashboard.xlsx?web=1)</w:t>
            </w:r>
          </w:p>
        </w:tc>
      </w:tr>
      <w:tr>
        <w:tc>
          <w:tcPr>
            <w:tcW w:type="dxa" w:w="2880"/>
          </w:tcPr>
          <w:p>
            <w:r>
              <w:t>command-center.xlsx</w:t>
            </w:r>
          </w:p>
        </w:tc>
        <w:tc>
          <w:tcPr>
            <w:tcW w:type="dxa" w:w="2880"/>
          </w:tcPr>
          <w:p>
            <w:r>
              <w:t>Operational command center — tasks, status, owners</w:t>
            </w:r>
          </w:p>
        </w:tc>
        <w:tc>
          <w:tcPr>
            <w:tcW w:type="dxa" w:w="2880"/>
          </w:tcPr>
          <w:p>
            <w:r>
              <w:t>[Open](https://amazon-my.sharepoint.com/personal/prichwil_amazon_com/Documents/Kiro-Drive/command-center.xlsx?web=1)</w:t>
            </w:r>
          </w:p>
        </w:tc>
      </w:tr>
    </w:tbl>
    <w:p>
      <w:pPr>
        <w:pStyle w:val="Heading3"/>
      </w:pPr>
      <w:r>
        <w:t>Artifacts — MX Callouts &amp; Analysis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Period</w:t>
            </w:r>
          </w:p>
        </w:tc>
        <w:tc>
          <w:tcPr>
            <w:tcW w:type="dxa" w:w="2880"/>
          </w:tcPr>
          <w:p>
            <w:r>
              <w:t>Link</w:t>
            </w:r>
          </w:p>
        </w:tc>
      </w:tr>
      <w:tr>
        <w:tc>
          <w:tcPr>
            <w:tcW w:type="dxa" w:w="2880"/>
          </w:tcPr>
          <w:p>
            <w:r>
              <w:t>mx-2026-w14.docx</w:t>
            </w:r>
          </w:p>
        </w:tc>
        <w:tc>
          <w:tcPr>
            <w:tcW w:type="dxa" w:w="2880"/>
          </w:tcPr>
          <w:p>
            <w:r>
              <w:t>W14 callout</w:t>
            </w:r>
          </w:p>
        </w:tc>
        <w:tc>
          <w:tcPr>
            <w:tcW w:type="dxa" w:w="2880"/>
          </w:tcPr>
          <w:p>
            <w:r>
              <w:t>[Open](https://amazon-my.sharepoint.com/personal/prichwil_amazon_com/Documents/Artifacts/markets/abix/mx/mx-2026-w14.docx?web=1)</w:t>
            </w:r>
          </w:p>
        </w:tc>
      </w:tr>
      <w:tr>
        <w:tc>
          <w:tcPr>
            <w:tcW w:type="dxa" w:w="2880"/>
          </w:tcPr>
          <w:p>
            <w:r>
              <w:t>mx-2026-w13.docx</w:t>
            </w:r>
          </w:p>
        </w:tc>
        <w:tc>
          <w:tcPr>
            <w:tcW w:type="dxa" w:w="2880"/>
          </w:tcPr>
          <w:p>
            <w:r>
              <w:t>W13 callout</w:t>
            </w:r>
          </w:p>
        </w:tc>
        <w:tc>
          <w:tcPr>
            <w:tcW w:type="dxa" w:w="2880"/>
          </w:tcPr>
          <w:p>
            <w:r>
              <w:t>[Open](https://amazon-my.sharepoint.com/personal/prichwil_amazon_com/Documents/Artifacts/markets/abix/mx/mx-2026-w13.docx?web=1)</w:t>
            </w:r>
          </w:p>
        </w:tc>
      </w:tr>
      <w:tr>
        <w:tc>
          <w:tcPr>
            <w:tcW w:type="dxa" w:w="2880"/>
          </w:tcPr>
          <w:p>
            <w:r>
              <w:t>mx-2026-w12.docx</w:t>
            </w:r>
          </w:p>
        </w:tc>
        <w:tc>
          <w:tcPr>
            <w:tcW w:type="dxa" w:w="2880"/>
          </w:tcPr>
          <w:p>
            <w:r>
              <w:t>W12 callout</w:t>
            </w:r>
          </w:p>
        </w:tc>
        <w:tc>
          <w:tcPr>
            <w:tcW w:type="dxa" w:w="2880"/>
          </w:tcPr>
          <w:p>
            <w:r>
              <w:t>[Open](https://amazon-my.sharepoint.com/personal/prichwil_amazon_com/Documents/Artifacts/markets/abix/mx/mx-2026-w12.docx?web=1)</w:t>
            </w:r>
          </w:p>
        </w:tc>
      </w:tr>
      <w:tr>
        <w:tc>
          <w:tcPr>
            <w:tcW w:type="dxa" w:w="2880"/>
          </w:tcPr>
          <w:p>
            <w:r>
              <w:t>mx-2026-w11.docx</w:t>
            </w:r>
          </w:p>
        </w:tc>
        <w:tc>
          <w:tcPr>
            <w:tcW w:type="dxa" w:w="2880"/>
          </w:tcPr>
          <w:p>
            <w:r>
              <w:t>W11 callout</w:t>
            </w:r>
          </w:p>
        </w:tc>
        <w:tc>
          <w:tcPr>
            <w:tcW w:type="dxa" w:w="2880"/>
          </w:tcPr>
          <w:p>
            <w:r>
              <w:t>[Open](https://amazon-my.sharepoint.com/personal/prichwil_amazon_com/Documents/Artifacts/markets/abix/mx/mx-2026-w11.docx?web=1)</w:t>
            </w:r>
          </w:p>
        </w:tc>
      </w:tr>
      <w:tr>
        <w:tc>
          <w:tcPr>
            <w:tcW w:type="dxa" w:w="2880"/>
          </w:tcPr>
          <w:p>
            <w:r>
              <w:t>mx-analysis-2026-w13.docx</w:t>
            </w:r>
          </w:p>
        </w:tc>
        <w:tc>
          <w:tcPr>
            <w:tcW w:type="dxa" w:w="2880"/>
          </w:tcPr>
          <w:p>
            <w:r>
              <w:t>W13 deep analysis</w:t>
            </w:r>
          </w:p>
        </w:tc>
        <w:tc>
          <w:tcPr>
            <w:tcW w:type="dxa" w:w="2880"/>
          </w:tcPr>
          <w:p>
            <w:r>
              <w:t>[Open](https://amazon-my.sharepoint.com/personal/prichwil_amazon_com/Documents/Artifacts/markets/abix/mx/mx-analysis-2026-w13.docx?web=1)</w:t>
            </w:r>
          </w:p>
        </w:tc>
      </w:tr>
      <w:tr>
        <w:tc>
          <w:tcPr>
            <w:tcW w:type="dxa" w:w="2880"/>
          </w:tcPr>
          <w:p>
            <w:r>
              <w:t>mx-analysis-2026-w12.docx</w:t>
            </w:r>
          </w:p>
        </w:tc>
        <w:tc>
          <w:tcPr>
            <w:tcW w:type="dxa" w:w="2880"/>
          </w:tcPr>
          <w:p>
            <w:r>
              <w:t>W12 deep analysis</w:t>
            </w:r>
          </w:p>
        </w:tc>
        <w:tc>
          <w:tcPr>
            <w:tcW w:type="dxa" w:w="2880"/>
          </w:tcPr>
          <w:p>
            <w:r>
              <w:t>[Open](https://amazon-my.sharepoint.com/personal/prichwil_amazon_com/Documents/Artifacts/markets/abix/mx/mx-analysis-2026-w12.docx?web=1)</w:t>
            </w:r>
          </w:p>
        </w:tc>
      </w:tr>
      <w:tr>
        <w:tc>
          <w:tcPr>
            <w:tcW w:type="dxa" w:w="2880"/>
          </w:tcPr>
          <w:p>
            <w:r>
              <w:t>mx-data-brief-2026-w14.docx</w:t>
            </w:r>
          </w:p>
        </w:tc>
        <w:tc>
          <w:tcPr>
            <w:tcW w:type="dxa" w:w="2880"/>
          </w:tcPr>
          <w:p>
            <w:r>
              <w:t>W14 data brief</w:t>
            </w:r>
          </w:p>
        </w:tc>
        <w:tc>
          <w:tcPr>
            <w:tcW w:type="dxa" w:w="2880"/>
          </w:tcPr>
          <w:p>
            <w:r>
              <w:t>[Open](https://amazon-my.sharepoint.com/personal/prichwil_amazon_com/Documents/Artifacts/markets/abix/mx/mx-data-brief-2026-w14.docx?web=1)</w:t>
            </w:r>
          </w:p>
        </w:tc>
      </w:tr>
      <w:tr>
        <w:tc>
          <w:tcPr>
            <w:tcW w:type="dxa" w:w="2880"/>
          </w:tcPr>
          <w:p>
            <w:r>
              <w:t>mx-data-brief-2026-w13.docx</w:t>
            </w:r>
          </w:p>
        </w:tc>
        <w:tc>
          <w:tcPr>
            <w:tcW w:type="dxa" w:w="2880"/>
          </w:tcPr>
          <w:p>
            <w:r>
              <w:t>W13 data brief</w:t>
            </w:r>
          </w:p>
        </w:tc>
        <w:tc>
          <w:tcPr>
            <w:tcW w:type="dxa" w:w="2880"/>
          </w:tcPr>
          <w:p>
            <w:r>
              <w:t>[Open](https://amazon-my.sharepoint.com/personal/prichwil_amazon_com/Documents/Artifacts/markets/abix/mx/mx-data-brief-2026-w13.docx?web=1)</w:t>
            </w:r>
          </w:p>
        </w:tc>
      </w:tr>
      <w:tr>
        <w:tc>
          <w:tcPr>
            <w:tcW w:type="dxa" w:w="2880"/>
          </w:tcPr>
          <w:p>
            <w:r>
              <w:t>mx-data-brief-2026-w12.docx</w:t>
            </w:r>
          </w:p>
        </w:tc>
        <w:tc>
          <w:tcPr>
            <w:tcW w:type="dxa" w:w="2880"/>
          </w:tcPr>
          <w:p>
            <w:r>
              <w:t>W12 data brief</w:t>
            </w:r>
          </w:p>
        </w:tc>
        <w:tc>
          <w:tcPr>
            <w:tcW w:type="dxa" w:w="2880"/>
          </w:tcPr>
          <w:p>
            <w:r>
              <w:t>[Open](https://amazon-my.sharepoint.com/personal/prichwil_amazon_com/Documents/Artifacts/markets/abix/mx/mx-data-brief-2026-w12.docx?web=1)</w:t>
            </w:r>
          </w:p>
        </w:tc>
      </w:tr>
      <w:tr>
        <w:tc>
          <w:tcPr>
            <w:tcW w:type="dxa" w:w="2880"/>
          </w:tcPr>
          <w:p>
            <w:r>
              <w:t>mx-change-log.docx</w:t>
            </w:r>
          </w:p>
        </w:tc>
        <w:tc>
          <w:tcPr>
            <w:tcW w:type="dxa" w:w="2880"/>
          </w:tcPr>
          <w:p>
            <w:r>
              <w:t>2026 YTD change log</w:t>
            </w:r>
          </w:p>
        </w:tc>
        <w:tc>
          <w:tcPr>
            <w:tcW w:type="dxa" w:w="2880"/>
          </w:tcPr>
          <w:p>
            <w:r>
              <w:t>[Open](https://amazon-my.sharepoint.com/personal/prichwil_amazon_com/Documents/Artifacts/markets/abix/mx/mx-change-log.docx?web=1)</w:t>
            </w:r>
          </w:p>
        </w:tc>
      </w:tr>
      <w:tr>
        <w:tc>
          <w:tcPr>
            <w:tcW w:type="dxa" w:w="2880"/>
          </w:tcPr>
          <w:p>
            <w:r>
              <w:t>mx-context.docx</w:t>
            </w:r>
          </w:p>
        </w:tc>
        <w:tc>
          <w:tcPr>
            <w:tcW w:type="dxa" w:w="2880"/>
          </w:tcPr>
          <w:p>
            <w:r>
              <w:t>MX market context doc</w:t>
            </w:r>
          </w:p>
        </w:tc>
        <w:tc>
          <w:tcPr>
            <w:tcW w:type="dxa" w:w="2880"/>
          </w:tcPr>
          <w:p>
            <w:r>
              <w:t>[Open](https://amazon-my.sharepoint.com/personal/prichwil_amazon_com/Documents/Artifacts/markets/abix/mx/mx-context.docx?web=1)</w:t>
            </w:r>
          </w:p>
        </w:tc>
      </w:tr>
      <w:tr>
        <w:tc>
          <w:tcPr>
            <w:tcW w:type="dxa" w:w="2880"/>
          </w:tcPr>
          <w:p>
            <w:r>
              <w:t>mx-projections.docx</w:t>
            </w:r>
          </w:p>
        </w:tc>
        <w:tc>
          <w:tcPr>
            <w:tcW w:type="dxa" w:w="2880"/>
          </w:tcPr>
          <w:p>
            <w:r>
              <w:t>Monthly projections tracker</w:t>
            </w:r>
          </w:p>
        </w:tc>
        <w:tc>
          <w:tcPr>
            <w:tcW w:type="dxa" w:w="2880"/>
          </w:tcPr>
          <w:p>
            <w:r>
              <w:t>[Open](https://amazon-my.sharepoint.com/personal/prichwil_amazon_com/Documents/Artifacts/markets/abix/mx/mx-projections.docx?web=1)</w:t>
            </w:r>
          </w:p>
        </w:tc>
      </w:tr>
      <w:tr>
        <w:tc>
          <w:tcPr>
            <w:tcW w:type="dxa" w:w="2880"/>
          </w:tcPr>
          <w:p>
            <w:r>
              <w:t>mx-fy26-projection.docx</w:t>
            </w:r>
          </w:p>
        </w:tc>
        <w:tc>
          <w:tcPr>
            <w:tcW w:type="dxa" w:w="2880"/>
          </w:tcPr>
          <w:p>
            <w:r>
              <w:t>FY26 annual projection (2 scenarios)</w:t>
            </w:r>
          </w:p>
        </w:tc>
        <w:tc>
          <w:tcPr>
            <w:tcW w:type="dxa" w:w="2880"/>
          </w:tcPr>
          <w:p>
            <w:r>
              <w:t>[Open](https://amazon-my.sharepoint.com/personal/prichwil_amazon_com/Documents/Artifacts/markets/abix/mx/mx-fy26-projection.docx?web=1)</w:t>
            </w:r>
          </w:p>
        </w:tc>
      </w:tr>
    </w:tbl>
    <w:p>
      <w:pPr>
        <w:pStyle w:val="Heading3"/>
      </w:pPr>
      <w:r>
        <w:t>Artifacts — WW / Cross-Market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ww-review-2026-w13.docx</w:t>
            </w:r>
          </w:p>
        </w:tc>
        <w:tc>
          <w:tcPr>
            <w:tcW w:type="dxa" w:w="2880"/>
          </w:tcPr>
          <w:p>
            <w:r>
              <w:t>WW weekly review (includes MX)</w:t>
            </w:r>
          </w:p>
        </w:tc>
        <w:tc>
          <w:tcPr>
            <w:tcW w:type="dxa" w:w="2880"/>
          </w:tcPr>
          <w:p>
            <w:r>
              <w:t>[Open](https://amazon-my.sharepoint.com/personal/prichwil_amazon_com/Documents/Artifacts/markets/ww/ww-review-2026-w13.docx?web=1)</w:t>
            </w:r>
          </w:p>
        </w:tc>
      </w:tr>
      <w:tr>
        <w:tc>
          <w:tcPr>
            <w:tcW w:type="dxa" w:w="2880"/>
          </w:tcPr>
          <w:p>
            <w:r>
              <w:t>ww-summary-2026-w14.docx</w:t>
            </w:r>
          </w:p>
        </w:tc>
        <w:tc>
          <w:tcPr>
            <w:tcW w:type="dxa" w:w="2880"/>
          </w:tcPr>
          <w:p>
            <w:r>
              <w:t>WW summary W14</w:t>
            </w:r>
          </w:p>
        </w:tc>
        <w:tc>
          <w:tcPr>
            <w:tcW w:type="dxa" w:w="2880"/>
          </w:tcPr>
          <w:p>
            <w:r>
              <w:t>[Open](https://amazon-my.sharepoint.com/personal/prichwil_amazon_com/Documents/Artifacts/markets/ww/ww-summary-2026-w14.docx?web=1)</w:t>
            </w:r>
          </w:p>
        </w:tc>
      </w:tr>
      <w:tr>
        <w:tc>
          <w:tcPr>
            <w:tcW w:type="dxa" w:w="2880"/>
          </w:tcPr>
          <w:p>
            <w:r>
              <w:t>wbr-w14-callouts.docx</w:t>
            </w:r>
          </w:p>
        </w:tc>
        <w:tc>
          <w:tcPr>
            <w:tcW w:type="dxa" w:w="2880"/>
          </w:tcPr>
          <w:p>
            <w:r>
              <w:t>WBR callouts all markets W14</w:t>
            </w:r>
          </w:p>
        </w:tc>
        <w:tc>
          <w:tcPr>
            <w:tcW w:type="dxa" w:w="2880"/>
          </w:tcPr>
          <w:p>
            <w:r>
              <w:t>[Open](https://amazon-my.sharepoint.com/personal/prichwil_amazon_com/Documents/Artifacts/markets/ww/wbr-w14-callouts.docx?web=1)</w:t>
            </w:r>
          </w:p>
        </w:tc>
      </w:tr>
      <w:tr>
        <w:tc>
          <w:tcPr>
            <w:tcW w:type="dxa" w:w="2880"/>
          </w:tcPr>
          <w:p>
            <w:r>
              <w:t>projections-ww.docx</w:t>
            </w:r>
          </w:p>
        </w:tc>
        <w:tc>
          <w:tcPr>
            <w:tcW w:type="dxa" w:w="2880"/>
          </w:tcPr>
          <w:p>
            <w:r>
              <w:t>WW projections</w:t>
            </w:r>
          </w:p>
        </w:tc>
        <w:tc>
          <w:tcPr>
            <w:tcW w:type="dxa" w:w="2880"/>
          </w:tcPr>
          <w:p>
            <w:r>
              <w:t>[Open](https://amazon-my.sharepoint.com/personal/prichwil_amazon_com/Documents/Artifacts/markets/ww/projections-ww.docx?web=1)</w:t>
            </w:r>
          </w:p>
        </w:tc>
      </w:tr>
      <w:tr>
        <w:tc>
          <w:tcPr>
            <w:tcW w:type="dxa" w:w="2880"/>
          </w:tcPr>
          <w:p>
            <w:r>
              <w:t>testing-approach-kate-v5.docx</w:t>
            </w:r>
          </w:p>
        </w:tc>
        <w:tc>
          <w:tcPr>
            <w:tcW w:type="dxa" w:w="2880"/>
          </w:tcPr>
          <w:p>
            <w:r>
              <w:t>Testing Approach doc (Kate review)</w:t>
            </w:r>
          </w:p>
        </w:tc>
        <w:tc>
          <w:tcPr>
            <w:tcW w:type="dxa" w:w="2880"/>
          </w:tcPr>
          <w:p>
            <w:r>
              <w:t>[Open](https://amazon-my.sharepoint.com/personal/prichwil_amazon_com/Documents/Artifacts/testing/testing-approach-kate-v5.docx?web=1)</w:t>
            </w:r>
          </w:p>
        </w:tc>
      </w:tr>
      <w:tr>
        <w:tc>
          <w:tcPr>
            <w:tcW w:type="dxa" w:w="2880"/>
          </w:tcPr>
          <w:p>
            <w:r>
              <w:t>oci-rollout-playbook.docx</w:t>
            </w:r>
          </w:p>
        </w:tc>
        <w:tc>
          <w:tcPr>
            <w:tcW w:type="dxa" w:w="2880"/>
          </w:tcPr>
          <w:p>
            <w:r>
              <w:t>OCI rollout playbook (MX not started)</w:t>
            </w:r>
          </w:p>
        </w:tc>
        <w:tc>
          <w:tcPr>
            <w:tcW w:type="dxa" w:w="2880"/>
          </w:tcPr>
          <w:p>
            <w:r>
              <w:t>[Open](https://amazon-my.sharepoint.com/personal/prichwil_amazon_com/Documents/Artifacts/testing/oci-rollout-playbook.docx?web=1)</w:t>
            </w:r>
          </w:p>
        </w:tc>
      </w:tr>
    </w:tbl>
    <w:p>
      <w:pPr>
        <w:pStyle w:val="Heading3"/>
      </w:pPr>
      <w:r>
        <w:t>Quip Documents</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AB MX Paid Search Sync</w:t>
            </w:r>
          </w:p>
        </w:tc>
        <w:tc>
          <w:tcPr>
            <w:tcW w:type="dxa" w:w="2880"/>
          </w:tcPr>
          <w:p>
            <w:r>
              <w:t>Weekly performance tracker since WK11 2024</w:t>
            </w:r>
          </w:p>
        </w:tc>
        <w:tc>
          <w:tcPr>
            <w:tcW w:type="dxa" w:w="2880"/>
          </w:tcPr>
          <w:p>
            <w:r>
              <w:t>[Open](https://quip-amazon.com/K9OYA9mXm7DU)</w:t>
            </w:r>
          </w:p>
        </w:tc>
      </w:tr>
      <w:tr>
        <w:tc>
          <w:tcPr>
            <w:tcW w:type="dxa" w:w="2880"/>
          </w:tcPr>
          <w:p>
            <w:r>
              <w:t>MX Keyword Cleanup Framework</w:t>
            </w:r>
          </w:p>
        </w:tc>
        <w:tc>
          <w:tcPr>
            <w:tcW w:type="dxa" w:w="2880"/>
          </w:tcPr>
          <w:p>
            <w:r>
              <w:t>Audit thresholds and cleanup rules</w:t>
            </w:r>
          </w:p>
        </w:tc>
        <w:tc>
          <w:tcPr>
            <w:tcW w:type="dxa" w:w="2880"/>
          </w:tcPr>
          <w:p>
            <w:r>
              <w:t>[Open](https://quip-amazon.com/EZZ9AAR7EEz)</w:t>
            </w:r>
          </w:p>
        </w:tc>
      </w:tr>
      <w:tr>
        <w:tc>
          <w:tcPr>
            <w:tcW w:type="dxa" w:w="2880"/>
          </w:tcPr>
          <w:p>
            <w:r>
              <w:t>MX Transition</w:t>
            </w:r>
          </w:p>
        </w:tc>
        <w:tc>
          <w:tcPr>
            <w:tcW w:type="dxa" w:w="2880"/>
          </w:tcPr>
          <w:p>
            <w:r>
              <w:t>POCs, campaign structure, reporting conventions</w:t>
            </w:r>
          </w:p>
        </w:tc>
        <w:tc>
          <w:tcPr>
            <w:tcW w:type="dxa" w:w="2880"/>
          </w:tcPr>
          <w:p>
            <w:r>
              <w:t>[Open](https://quip-amazon.com/GCX9AAbP5Rh)</w:t>
            </w:r>
          </w:p>
        </w:tc>
      </w:tr>
      <w:tr>
        <w:tc>
          <w:tcPr>
            <w:tcW w:type="dxa" w:w="2880"/>
          </w:tcPr>
          <w:p>
            <w:r>
              <w:t>Pre-WBR Callouts</w:t>
            </w:r>
          </w:p>
        </w:tc>
        <w:tc>
          <w:tcPr>
            <w:tcW w:type="dxa" w:w="2880"/>
          </w:tcPr>
          <w:p>
            <w:r>
              <w:t>WBR callout working doc</w:t>
            </w:r>
          </w:p>
        </w:tc>
        <w:tc>
          <w:tcPr>
            <w:tcW w:type="dxa" w:w="2880"/>
          </w:tcPr>
          <w:p>
            <w:r>
              <w:t>[Open](https://quip-amazon.com/MMgBAzDrlVou)</w:t>
            </w:r>
          </w:p>
        </w:tc>
      </w:tr>
    </w:tbl>
    <w:p>
      <w:pPr>
        <w:pStyle w:val="Heading3"/>
      </w:pPr>
      <w:r>
        <w:t>Kiro-Drive — System State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rw-tracker.md</w:t>
            </w:r>
          </w:p>
        </w:tc>
        <w:tc>
          <w:tcPr>
            <w:tcW w:type="dxa" w:w="2880"/>
          </w:tcPr>
          <w:p>
            <w:r>
              <w:t>Weekly scorecard, 30-day challenge</w:t>
            </w:r>
          </w:p>
        </w:tc>
        <w:tc>
          <w:tcPr>
            <w:tcW w:type="dxa" w:w="2880"/>
          </w:tcPr>
          <w:p>
            <w:r>
              <w:t>[Open](https://amazon-my.sharepoint.com/personal/prichwil_amazon_com/Documents/Kiro-Drive/system-state/rw-tracker.md?web=1)</w:t>
            </w:r>
          </w:p>
        </w:tc>
      </w:tr>
      <w:tr>
        <w:tc>
          <w:tcPr>
            <w:tcW w:type="dxa" w:w="2880"/>
          </w:tcPr>
          <w:p>
            <w:r>
              <w:t>body-snapshot-2026-04-12.md</w:t>
            </w:r>
          </w:p>
        </w:tc>
        <w:tc>
          <w:tcPr>
            <w:tcW w:type="dxa" w:w="2880"/>
          </w:tcPr>
          <w:p>
            <w:r>
              <w:t>Portable body snapshot</w:t>
            </w:r>
          </w:p>
        </w:tc>
        <w:tc>
          <w:tcPr>
            <w:tcW w:type="dxa" w:w="2880"/>
          </w:tcPr>
          <w:p>
            <w:r>
              <w:t>[Open](https://amazon-my.sharepoint.com/personal/prichwil_amazon_com/Documents/Kiro-Drive/portable-body/body-snapshot-2026-04-12.md?web=1)</w:t>
            </w:r>
          </w:p>
        </w:tc>
      </w:tr>
    </w:tbl>
    <w:p>
      <w:r>
        <w:t>---</w:t>
      </w:r>
    </w:p>
    <w:p>
      <w:r>
        <w:t>*This document is designed for daily automated refresh via the Kiro agent swarm. Sections marked with placeholder tags (e.g., {{State_Of_Business_Paragraph_1}}) in the DOCX template version are populated by the LLM output JSON and patched into the Word file via deterministic XML injection. The narrative sections above represent the current human-authored baseline that the agent will maintain and update as new weekly data arrives.*</w:t>
      </w:r>
    </w:p>
    <w:p>
      <w:r>
        <w:t>*Template location: OneDrive Kiro-Drive/state-files/mx-paid-search-state.md*</w:t>
      </w:r>
    </w:p>
    <w:p>
      <w:r>
        <w:t>*DOCX template (future): OneDrive Kiro-Drive/state-files/templates/mx-paid-search-template.docx*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