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MX Paid Search — Daily State File</w:t>
      </w:r>
    </w:p>
    <w:p>
      <w:r>
        <w:t>&lt;!-- DOC-0401 | duck_id: state-file-mx-ps --&gt;</w:t>
      </w:r>
    </w:p>
    <w:p>
      <w:pPr>
        <w:pStyle w:val="Heading1"/>
      </w:pPr>
      <w:r>
        <w:t>Mexico Paid Search — State of the Business</w:t>
      </w:r>
    </w:p>
    <w:p>
      <w:r>
        <w:t>**Reporting period:** Week 13 (Mar 22–28, 2026) · **Market owner:** Richard Williams · **Primary stakeholder:** Lorena Alvarez Larrea (L5) · **Support:** Yun-Kang Chu (L6)</w:t>
      </w:r>
    </w:p>
    <w:p>
      <w:r>
        <w:t>---</w:t>
      </w:r>
    </w:p>
    <w:p>
      <w:pPr>
        <w:pStyle w:val="Heading2"/>
      </w:pPr>
      <w:r>
        <w:t>Introduction</w:t>
      </w:r>
    </w:p>
    <w:p>
      <w:r>
        <w:t>This document provides the trailing-week operational state of the Amazon Business Mexico Paid Search program. MX is Richard Williams's hands-on market, managed through Google Ads on the NA MCC (683-476-0964) under the DSAP parent MCC (873-788-1095). The program operates under an ie%CCP constraint model where Brand registrations at $21 CPA generate surplus Customer Cost to Pay that funds Non-Brand acquisition at higher CPAs. AB Finance assumed MX funding responsibility in March 2026. Lorena Alvarez Larrea replaced Carlos Palmos as the primary MX PS stakeholder on March 17, 2026. Keyword-level registration data is unavailable until Q3 2026; all Non-Brand performance analysis is directional.</w:t>
      </w:r>
    </w:p>
    <w:p>
      <w:pPr>
        <w:pStyle w:val="Heading2"/>
      </w:pPr>
      <w:r>
        <w:t>Goals</w:t>
      </w:r>
    </w:p>
    <w:p>
      <w:pPr>
        <w:pStyle w:val="ListNumber"/>
      </w:pPr>
      <w:r>
        <w:t>Achieve a blended CPA at or below $66 for FY26 (OP2 target), while maximizing registration volume within the ie%CCP constraint.</w:t>
      </w:r>
    </w:p>
    <w:p>
      <w:pPr>
        <w:pStyle w:val="ListNumber"/>
      </w:pPr>
      <w:r>
        <w:t>Maintain ie%CCP at or above 100% from Q2 2026 onward (Q1 operated at 77–99% as Brand surplus built).</w:t>
      </w:r>
    </w:p>
    <w:p>
      <w:pPr>
        <w:pStyle w:val="ListNumber"/>
      </w:pPr>
      <w:r>
        <w:t>Deliver 11,178 total registrations for FY26 against the OP2 plan ($542K spend), with upside scenarios projecting 13,948–15,051 registrations at $745K–$959K spend.</w:t>
      </w:r>
    </w:p>
    <w:p>
      <w:pPr>
        <w:pStyle w:val="ListNumber"/>
      </w:pPr>
      <w:r>
        <w:t>Complete the Polaris Brand landing page migration for MX per Brandon's priority order (AU &gt; MX &gt; DE &gt; UK &gt; JP &gt; FR &gt; IT &gt; ES &gt; CA &gt; US-ES).</w:t>
      </w:r>
    </w:p>
    <w:p>
      <w:pPr>
        <w:pStyle w:val="ListNumber"/>
      </w:pPr>
      <w:r>
        <w:t>Resolve the automotive landing page ref tag overwrite issue that breaks paid search attribution.</w:t>
      </w:r>
    </w:p>
    <w:p>
      <w:pPr>
        <w:pStyle w:val="Heading2"/>
      </w:pPr>
      <w:r>
        <w:t>Tenets</w:t>
      </w:r>
    </w:p>
    <w:p>
      <w:pPr>
        <w:pStyle w:val="ListNumber"/>
      </w:pPr>
      <w:r>
        <w:t>**ie%CCP governs spend, not budget.** Non-Brand spend expands only when Brand CCP surplus permits. The constraint is mathematical, not discretionary.</w:t>
      </w:r>
    </w:p>
    <w:p>
      <w:pPr>
        <w:pStyle w:val="ListNumber"/>
      </w:pPr>
      <w:r>
        <w:t>**Efficiency over escalation.** When NB CPC rises, respond with bid strategy refinement and negative keyword routing — not budget increases.</w:t>
      </w:r>
    </w:p>
    <w:p>
      <w:pPr>
        <w:pStyle w:val="ListNumber"/>
      </w:pPr>
      <w:r>
        <w:t>**Evidence before scale.** No campaign structure change, keyword expansion, or landing page variant ships to full traffic without a measurement period.</w:t>
      </w:r>
    </w:p>
    <w:p>
      <w:pPr>
        <w:pStyle w:val="ListNumber"/>
      </w:pPr>
      <w:r>
        <w:t>**Stakeholder responsiveness builds trust.** Lorena is a new relationship. Timely, thorough responses to her requests compound into strategic partnership.</w:t>
      </w:r>
    </w:p>
    <w:p>
      <w:r>
        <w:t>---</w:t>
      </w:r>
    </w:p>
    <w:p>
      <w:pPr>
        <w:pStyle w:val="Heading2"/>
      </w:pPr>
      <w:r>
        <w:t>State of the Business</w:t>
      </w:r>
    </w:p>
    <w:p>
      <w:r>
        <w:t>MX drove 354 registrations in W13 (+9% WoW) on $23K spend (+15% WoW), producing a blended CPA of $66 (+6% WoW). ie%CCP reached 99% for the week, effectively at the 100% ceiling. March is projected to close at approximately $96K spend and 1,500 registrations at $63 CPA — 76% above OP2 on registrations and $3 below the OP2 CPA target of $66.</w:t>
      </w:r>
    </w:p>
    <w:p>
      <w:r>
        <w:t>**Input metrics (controllable levers):**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Metric</w:t>
            </w:r>
          </w:p>
        </w:tc>
        <w:tc>
          <w:tcPr>
            <w:tcW w:type="dxa" w:w="2160"/>
          </w:tcPr>
          <w:p>
            <w:r>
              <w:t>W13 Value</w:t>
            </w:r>
          </w:p>
        </w:tc>
        <w:tc>
          <w:tcPr>
            <w:tcW w:type="dxa" w:w="2160"/>
          </w:tcPr>
          <w:p>
            <w:r>
              <w:t>WoW Δ</w:t>
            </w:r>
          </w:p>
        </w:tc>
        <w:tc>
          <w:tcPr>
            <w:tcW w:type="dxa" w:w="2160"/>
          </w:tcPr>
          <w:p>
            <w:r>
              <w:t>Trend</w:t>
            </w:r>
          </w:p>
        </w:tc>
      </w:tr>
      <w:tr>
        <w:tc>
          <w:tcPr>
            <w:tcW w:type="dxa" w:w="2160"/>
          </w:tcPr>
          <w:p>
            <w:r>
              <w:t>Total spend</w:t>
            </w:r>
          </w:p>
        </w:tc>
        <w:tc>
          <w:tcPr>
            <w:tcW w:type="dxa" w:w="2160"/>
          </w:tcPr>
          <w:p>
            <w:r>
              <w:t>$23,219</w:t>
            </w:r>
          </w:p>
        </w:tc>
        <w:tc>
          <w:tcPr>
            <w:tcW w:type="dxa" w:w="2160"/>
          </w:tcPr>
          <w:p>
            <w:r>
              <w:t>+15%</w:t>
            </w:r>
          </w:p>
        </w:tc>
        <w:tc>
          <w:tcPr>
            <w:tcW w:type="dxa" w:w="2160"/>
          </w:tcPr>
          <w:p>
            <w:r>
              <w:t>Highest weekly spend in dataset; 24% above 8-week average</w:t>
            </w:r>
          </w:p>
        </w:tc>
      </w:tr>
      <w:tr>
        <w:tc>
          <w:tcPr>
            <w:tcW w:type="dxa" w:w="2160"/>
          </w:tcPr>
          <w:p>
            <w:r>
              <w:t>Brand clicks</w:t>
            </w:r>
          </w:p>
        </w:tc>
        <w:tc>
          <w:tcPr>
            <w:tcW w:type="dxa" w:w="2160"/>
          </w:tcPr>
          <w:p>
            <w:r>
              <w:t>3,698</w:t>
            </w:r>
          </w:p>
        </w:tc>
        <w:tc>
          <w:tcPr>
            <w:tcW w:type="dxa" w:w="2160"/>
          </w:tcPr>
          <w:p>
            <w:r>
              <w:t>+9%</w:t>
            </w:r>
          </w:p>
        </w:tc>
        <w:tc>
          <w:tcPr>
            <w:tcW w:type="dxa" w:w="2160"/>
          </w:tcPr>
          <w:p>
            <w:r>
              <w:t>Stable traffic growth from sustained 10x Brand investment vs LY</w:t>
            </w:r>
          </w:p>
        </w:tc>
      </w:tr>
      <w:tr>
        <w:tc>
          <w:tcPr>
            <w:tcW w:type="dxa" w:w="2160"/>
          </w:tcPr>
          <w:p>
            <w:r>
              <w:t>NB clicks</w:t>
            </w:r>
          </w:p>
        </w:tc>
        <w:tc>
          <w:tcPr>
            <w:tcW w:type="dxa" w:w="2160"/>
          </w:tcPr>
          <w:p>
            <w:r>
              <w:t>9,618</w:t>
            </w:r>
          </w:p>
        </w:tc>
        <w:tc>
          <w:tcPr>
            <w:tcW w:type="dxa" w:w="2160"/>
          </w:tcPr>
          <w:p>
            <w:r>
              <w:t>+9%</w:t>
            </w:r>
          </w:p>
        </w:tc>
        <w:tc>
          <w:tcPr>
            <w:tcW w:type="dxa" w:w="2160"/>
          </w:tcPr>
          <w:p>
            <w:r>
              <w:t>Click volume expanding; bid strategy driving incremental reach</w:t>
            </w:r>
          </w:p>
        </w:tc>
      </w:tr>
      <w:tr>
        <w:tc>
          <w:tcPr>
            <w:tcW w:type="dxa" w:w="2160"/>
          </w:tcPr>
          <w:p>
            <w:r>
              <w:t>NB CPC</w:t>
            </w:r>
          </w:p>
        </w:tc>
        <w:tc>
          <w:tcPr>
            <w:tcW w:type="dxa" w:w="2160"/>
          </w:tcPr>
          <w:p>
            <w:r>
              <w:t>$1.95</w:t>
            </w:r>
          </w:p>
        </w:tc>
        <w:tc>
          <w:tcPr>
            <w:tcW w:type="dxa" w:w="2160"/>
          </w:tcPr>
          <w:p>
            <w:r>
              <w:t>+8%</w:t>
            </w:r>
          </w:p>
        </w:tc>
        <w:tc>
          <w:tcPr>
            <w:tcW w:type="dxa" w:w="2160"/>
          </w:tcPr>
          <w:p>
            <w:r>
              <w:t>12-week high; 5-week upward trend resumed</w:t>
            </w:r>
          </w:p>
        </w:tc>
      </w:tr>
      <w:tr>
        <w:tc>
          <w:tcPr>
            <w:tcW w:type="dxa" w:w="2160"/>
          </w:tcPr>
          <w:p>
            <w:r>
              <w:t>Negative keywords</w:t>
            </w:r>
          </w:p>
        </w:tc>
        <w:tc>
          <w:tcPr>
            <w:tcW w:type="dxa" w:w="2160"/>
          </w:tcPr>
          <w:p>
            <w:r>
              <w:t>Active</w:t>
            </w:r>
          </w:p>
        </w:tc>
        <w:tc>
          <w:tcPr>
            <w:tcW w:type="dxa" w:w="2160"/>
          </w:tcPr>
          <w:p>
            <w:r>
              <w:t>—</w:t>
            </w:r>
          </w:p>
        </w:tc>
        <w:tc>
          <w:tcPr>
            <w:tcW w:type="dxa" w:w="2160"/>
          </w:tcPr>
          <w:p>
            <w:r>
              <w:t>W11 restructuring (Brand Exact/Phrase/NB routing) holding</w:t>
            </w:r>
          </w:p>
        </w:tc>
      </w:tr>
    </w:tbl>
    <w:p>
      <w:r>
        <w:t>**Output metrics (lagging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Output Metric</w:t>
            </w:r>
          </w:p>
        </w:tc>
        <w:tc>
          <w:tcPr>
            <w:tcW w:type="dxa" w:w="2160"/>
          </w:tcPr>
          <w:p>
            <w:r>
              <w:t>W13 Value</w:t>
            </w:r>
          </w:p>
        </w:tc>
        <w:tc>
          <w:tcPr>
            <w:tcW w:type="dxa" w:w="2160"/>
          </w:tcPr>
          <w:p>
            <w:r>
              <w:t>WoW Δ</w:t>
            </w:r>
          </w:p>
        </w:tc>
        <w:tc>
          <w:tcPr>
            <w:tcW w:type="dxa" w:w="2160"/>
          </w:tcPr>
          <w:p>
            <w:r>
              <w:t>YoY Δ</w:t>
            </w:r>
          </w:p>
        </w:tc>
      </w:tr>
      <w:tr>
        <w:tc>
          <w:tcPr>
            <w:tcW w:type="dxa" w:w="2160"/>
          </w:tcPr>
          <w:p>
            <w:r>
              <w:t>Total registrations</w:t>
            </w:r>
          </w:p>
        </w:tc>
        <w:tc>
          <w:tcPr>
            <w:tcW w:type="dxa" w:w="2160"/>
          </w:tcPr>
          <w:p>
            <w:r>
              <w:t>354</w:t>
            </w:r>
          </w:p>
        </w:tc>
        <w:tc>
          <w:tcPr>
            <w:tcW w:type="dxa" w:w="2160"/>
          </w:tcPr>
          <w:p>
            <w:r>
              <w:t>+9%</w:t>
            </w:r>
          </w:p>
        </w:tc>
        <w:tc>
          <w:tcPr>
            <w:tcW w:type="dxa" w:w="2160"/>
          </w:tcPr>
          <w:p>
            <w:r>
              <w:t>+91%</w:t>
            </w:r>
          </w:p>
        </w:tc>
      </w:tr>
      <w:tr>
        <w:tc>
          <w:tcPr>
            <w:tcW w:type="dxa" w:w="2160"/>
          </w:tcPr>
          <w:p>
            <w:r>
              <w:t>Brand registrations</w:t>
            </w:r>
          </w:p>
        </w:tc>
        <w:tc>
          <w:tcPr>
            <w:tcW w:type="dxa" w:w="2160"/>
          </w:tcPr>
          <w:p>
            <w:r>
              <w:t>214</w:t>
            </w:r>
          </w:p>
        </w:tc>
        <w:tc>
          <w:tcPr>
            <w:tcW w:type="dxa" w:w="2160"/>
          </w:tcPr>
          <w:p>
            <w:r>
              <w:t>+5%</w:t>
            </w:r>
          </w:p>
        </w:tc>
        <w:tc>
          <w:tcPr>
            <w:tcW w:type="dxa" w:w="2160"/>
          </w:tcPr>
          <w:p>
            <w:r>
              <w:t>+182%</w:t>
            </w:r>
          </w:p>
        </w:tc>
      </w:tr>
      <w:tr>
        <w:tc>
          <w:tcPr>
            <w:tcW w:type="dxa" w:w="2160"/>
          </w:tcPr>
          <w:p>
            <w:r>
              <w:t>NB registrations</w:t>
            </w:r>
          </w:p>
        </w:tc>
        <w:tc>
          <w:tcPr>
            <w:tcW w:type="dxa" w:w="2160"/>
          </w:tcPr>
          <w:p>
            <w:r>
              <w:t>140</w:t>
            </w:r>
          </w:p>
        </w:tc>
        <w:tc>
          <w:tcPr>
            <w:tcW w:type="dxa" w:w="2160"/>
          </w:tcPr>
          <w:p>
            <w:r>
              <w:t>+15%</w:t>
            </w:r>
          </w:p>
        </w:tc>
        <w:tc>
          <w:tcPr>
            <w:tcW w:type="dxa" w:w="2160"/>
          </w:tcPr>
          <w:p>
            <w:r>
              <w:t>+28%</w:t>
            </w:r>
          </w:p>
        </w:tc>
      </w:tr>
      <w:tr>
        <w:tc>
          <w:tcPr>
            <w:tcW w:type="dxa" w:w="2160"/>
          </w:tcPr>
          <w:p>
            <w:r>
              <w:t>Brand CPA</w:t>
            </w:r>
          </w:p>
        </w:tc>
        <w:tc>
          <w:tcPr>
            <w:tcW w:type="dxa" w:w="2160"/>
          </w:tcPr>
          <w:p>
            <w:r>
              <w:t>$21</w:t>
            </w:r>
          </w:p>
        </w:tc>
        <w:tc>
          <w:tcPr>
            <w:tcW w:type="dxa" w:w="2160"/>
          </w:tcPr>
          <w:p>
            <w:r>
              <w:t>+3%</w:t>
            </w:r>
          </w:p>
        </w:tc>
        <w:tc>
          <w:tcPr>
            <w:tcW w:type="dxa" w:w="2160"/>
          </w:tcPr>
          <w:p>
            <w:r>
              <w:t>Stable</w:t>
            </w:r>
          </w:p>
        </w:tc>
      </w:tr>
      <w:tr>
        <w:tc>
          <w:tcPr>
            <w:tcW w:type="dxa" w:w="2160"/>
          </w:tcPr>
          <w:p>
            <w:r>
              <w:t>NB CPA</w:t>
            </w:r>
          </w:p>
        </w:tc>
        <w:tc>
          <w:tcPr>
            <w:tcW w:type="dxa" w:w="2160"/>
          </w:tcPr>
          <w:p>
            <w:r>
              <w:t>$134</w:t>
            </w:r>
          </w:p>
        </w:tc>
        <w:tc>
          <w:tcPr>
            <w:tcW w:type="dxa" w:w="2160"/>
          </w:tcPr>
          <w:p>
            <w:r>
              <w:t>+2%</w:t>
            </w:r>
          </w:p>
        </w:tc>
        <w:tc>
          <w:tcPr>
            <w:tcW w:type="dxa" w:w="2160"/>
          </w:tcPr>
          <w:p>
            <w:r>
              <w:t>-57% (vs $309 LY)</w:t>
            </w:r>
          </w:p>
        </w:tc>
      </w:tr>
      <w:tr>
        <w:tc>
          <w:tcPr>
            <w:tcW w:type="dxa" w:w="2160"/>
          </w:tcPr>
          <w:p>
            <w:r>
              <w:t>Brand CVR</w:t>
            </w:r>
          </w:p>
        </w:tc>
        <w:tc>
          <w:tcPr>
            <w:tcW w:type="dxa" w:w="2160"/>
          </w:tcPr>
          <w:p>
            <w:r>
              <w:t>5.79%</w:t>
            </w:r>
          </w:p>
        </w:tc>
        <w:tc>
          <w:tcPr>
            <w:tcW w:type="dxa" w:w="2160"/>
          </w:tcPr>
          <w:p>
            <w:r>
              <w:t>-4%</w:t>
            </w:r>
          </w:p>
        </w:tc>
        <w:tc>
          <w:tcPr>
            <w:tcW w:type="dxa" w:w="2160"/>
          </w:tcPr>
          <w:p>
            <w:r>
              <w:t>—</w:t>
            </w:r>
          </w:p>
        </w:tc>
      </w:tr>
      <w:tr>
        <w:tc>
          <w:tcPr>
            <w:tcW w:type="dxa" w:w="2160"/>
          </w:tcPr>
          <w:p>
            <w:r>
              <w:t>NB CVR</w:t>
            </w:r>
          </w:p>
        </w:tc>
        <w:tc>
          <w:tcPr>
            <w:tcW w:type="dxa" w:w="2160"/>
          </w:tcPr>
          <w:p>
            <w:r>
              <w:t>1.46%</w:t>
            </w:r>
          </w:p>
        </w:tc>
        <w:tc>
          <w:tcPr>
            <w:tcW w:type="dxa" w:w="2160"/>
          </w:tcPr>
          <w:p>
            <w:r>
              <w:t>+5%</w:t>
            </w:r>
          </w:p>
        </w:tc>
        <w:tc>
          <w:tcPr>
            <w:tcW w:type="dxa" w:w="2160"/>
          </w:tcPr>
          <w:p>
            <w:r>
              <w:t>—</w:t>
            </w:r>
          </w:p>
        </w:tc>
      </w:tr>
      <w:tr>
        <w:tc>
          <w:tcPr>
            <w:tcW w:type="dxa" w:w="2160"/>
          </w:tcPr>
          <w:p>
            <w:r>
              <w:t>ie%CCP</w:t>
            </w:r>
          </w:p>
        </w:tc>
        <w:tc>
          <w:tcPr>
            <w:tcW w:type="dxa" w:w="2160"/>
          </w:tcPr>
          <w:p>
            <w:r>
              <w:t>99%</w:t>
            </w:r>
          </w:p>
        </w:tc>
        <w:tc>
          <w:tcPr>
            <w:tcW w:type="dxa" w:w="2160"/>
          </w:tcPr>
          <w:p>
            <w:r>
              <w:t>+14pp</w:t>
            </w:r>
          </w:p>
        </w:tc>
        <w:tc>
          <w:tcPr>
            <w:tcW w:type="dxa" w:w="2160"/>
          </w:tcPr>
          <w:p>
            <w:r>
              <w:t>On track to 100%</w:t>
            </w:r>
          </w:p>
        </w:tc>
      </w:tr>
    </w:tbl>
    <w:p>
      <w:r>
        <w:t>The W13 registration gain was click-driven (+9% WoW on both Brand and NB) rather than CVR-driven (Brand CVR declined 4%, NB CVR gained 5%). NB registrations at 140 are 33% above the 8-week average of 105, the second-highest weekly NB total after W11's 146. The negative keyword restructuring executed in W11 continues to produce durable NB CVR improvement: W13's 1.46% exceeds the pre-restructuring baseline of 1.1–1.3%.</w:t>
      </w:r>
    </w:p>
    <w:p>
      <w:r>
        <w:t>YoY performance remains the defining narrative: MX spent 32% less than the same week last year while generating 91% more registrations. Brand drove the bulk of the growth (+182% YoY) from the 10x increase in Brand coverage investment. NB CPA improved 57% YoY ($134 vs $309), enabled by 27% lower CPC and sustained bid strategy efficiency gains from the CPT portfolio transition completed in February.</w:t>
      </w:r>
    </w:p>
    <w:p>
      <w:r>
        <w:t>**Anomaly flag:** NB CPC at $1.95 is a 12-week high and has trended upward for 5 consecutive weeks. If this trajectory continues without proportional CVR gains, NB CPA will breach $134 and compress the ie%CCP margin. This requires monitoring in W14.</w:t>
      </w:r>
    </w:p>
    <w:p>
      <w:r>
        <w:t>**Cost of inaction (null case):** If no adjustments are made to NB bid strategy or budget allocation entering April, the March run rate ($96K/month) will overshoot the April OP2 budget of $35K by $61K within the first two weeks. At the current NB CPA of $134 against a $30 NB CCP, each unconstrained NB registration generates a $104 deficit that must be offset by Brand surplus. With April Brand projected at 720 registrations ($21 CPA, $90 CCP = $49,680 surplus), the maximum NB registrations fundable at 100% ie%CCP is 477. Exceeding this ceiling without intervention would push ie%CCP above 100%, violating the Q2 constraint and requiring retroactive budget justification to finance. The specific risk: 2–3 weeks of inaction would consume the entire April NB budget by mid-month, leaving zero NB spend capacity for the final two weeks.</w:t>
      </w:r>
    </w:p>
    <w:p>
      <w:r>
        <w:t>---</w:t>
      </w:r>
    </w:p>
    <w:p>
      <w:pPr>
        <w:pStyle w:val="Heading2"/>
      </w:pPr>
      <w:r>
        <w:t>Lessons Learned</w:t>
      </w:r>
    </w:p>
    <w:p>
      <w:r>
        <w:t>Three operational insights from the trailing three-week window (W11–W13) inform the immediate tactical posture:</w:t>
      </w:r>
    </w:p>
    <w:p>
      <w:pPr>
        <w:pStyle w:val="ListNumber"/>
      </w:pPr>
      <w:r>
        <w:t>**Negative keyword restructuring produced a durable CVR lift, not a one-week spike.** W11's NB CVR of 1.57% was flagged as potentially anomalous. W12 normalized to 1.38%, and W13 settled at 1.46%. All three weeks exceed the pre-restructuring 10-week average of approximately 1.2%. The improvement is structural: better query routing between Brand Exact, Brand Phrase, and NB campaigns means fewer wasted impressions on mismatched intent. No further negative keyword changes are needed; the current structure is performing.</w:t>
      </w:r>
    </w:p>
    <w:p>
      <w:pPr>
        <w:pStyle w:val="ListNumber"/>
      </w:pPr>
      <w:r>
        <w:t>**The W11-to-W12 normalization pattern is now confirmed as cyclical, not degradation.** The alternating spike-dip pattern over W8–W13 (368, 264, 298, 397, 330, 354) shows that "dip" weeks are progressively higher (264 → 298 → 330), confirming an upward underlying trend. W12's -16% WoW decline — which included the Benito Juarez holiday suppression of approximately 10–15 registrations — was not a performance concern. W13's +9% rebound confirms the baseline is rising.</w:t>
      </w:r>
    </w:p>
    <w:p>
      <w:pPr>
        <w:pStyle w:val="ListNumber"/>
      </w:pPr>
      <w:r>
        <w:t>**ie%CCP is a binding constraint, not a reporting metric.** March operated at 77–99% ie%CCP as Brand surplus accumulated. April OP2 budget drops from $57K to $35K. At the current NB CPA of $134 and Brand CPA of $21, the ie%CCP formula (Brand×$21 + NB×$134) / (Brand×$90 + NB×$30) dictates that NB registrations cannot exceed 66.3% of Brand registrations at 100% ie%CCP. With April Brand projected at approximately 720 registrations, the NB ceiling is approximately 477 registrations. NB spend must decrease to stay within this constraint.</w:t>
      </w:r>
    </w:p>
    <w:p>
      <w:r>
        <w:t>---</w:t>
      </w:r>
    </w:p>
    <w:p>
      <w:pPr>
        <w:pStyle w:val="Heading2"/>
      </w:pPr>
      <w:r>
        <w:t>Strategic Priorities</w:t>
      </w:r>
    </w:p>
    <w:p>
      <w:r>
        <w:t>**Next 24–48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w:t>
            </w:r>
          </w:p>
        </w:tc>
        <w:tc>
          <w:tcPr>
            <w:tcW w:type="dxa" w:w="1728"/>
          </w:tcPr>
          <w:p>
            <w:r>
              <w:t>Owner</w:t>
            </w:r>
          </w:p>
        </w:tc>
        <w:tc>
          <w:tcPr>
            <w:tcW w:type="dxa" w:w="1728"/>
          </w:tcPr>
          <w:p>
            <w:r>
              <w:t>Deadline</w:t>
            </w:r>
          </w:p>
        </w:tc>
        <w:tc>
          <w:tcPr>
            <w:tcW w:type="dxa" w:w="1728"/>
          </w:tcPr>
          <w:p>
            <w:r>
              <w:t>Goal Link</w:t>
            </w:r>
          </w:p>
        </w:tc>
      </w:tr>
      <w:tr>
        <w:tc>
          <w:tcPr>
            <w:tcW w:type="dxa" w:w="1728"/>
          </w:tcPr>
          <w:p>
            <w:r>
              <w:t>1</w:t>
            </w:r>
          </w:p>
        </w:tc>
        <w:tc>
          <w:tcPr>
            <w:tcW w:type="dxa" w:w="1728"/>
          </w:tcPr>
          <w:p>
            <w:r>
              <w:t>Model April Brand/NB mix scenarios at $35K OP2 budget to identify the NB spend ceiling that holds ie%CCP at 100%</w:t>
            </w:r>
          </w:p>
        </w:tc>
        <w:tc>
          <w:tcPr>
            <w:tcW w:type="dxa" w:w="1728"/>
          </w:tcPr>
          <w:p>
            <w:r>
              <w:t>Richard</w:t>
            </w:r>
          </w:p>
        </w:tc>
        <w:tc>
          <w:tcPr>
            <w:tcW w:type="dxa" w:w="1728"/>
          </w:tcPr>
          <w:p>
            <w:r>
              <w:t>Apr 14</w:t>
            </w:r>
          </w:p>
        </w:tc>
        <w:tc>
          <w:tcPr>
            <w:tcW w:type="dxa" w:w="1728"/>
          </w:tcPr>
          <w:p>
            <w:r>
              <w:t>Goal 1, 2</w:t>
            </w:r>
          </w:p>
        </w:tc>
      </w:tr>
      <w:tr>
        <w:tc>
          <w:tcPr>
            <w:tcW w:type="dxa" w:w="1728"/>
          </w:tcPr>
          <w:p>
            <w:r>
              <w:t>2</w:t>
            </w:r>
          </w:p>
        </w:tc>
        <w:tc>
          <w:tcPr>
            <w:tcW w:type="dxa" w:w="1728"/>
          </w:tcPr>
          <w:p>
            <w:r>
              <w:t>Respond to Lorena's Q2 expected spend request for PO submission (8 days overdue from 3/25 request)</w:t>
            </w:r>
          </w:p>
        </w:tc>
        <w:tc>
          <w:tcPr>
            <w:tcW w:type="dxa" w:w="1728"/>
          </w:tcPr>
          <w:p>
            <w:r>
              <w:t>Richard</w:t>
            </w:r>
          </w:p>
        </w:tc>
        <w:tc>
          <w:tcPr>
            <w:tcW w:type="dxa" w:w="1728"/>
          </w:tcPr>
          <w:p>
            <w:r>
              <w:t>Apr 13</w:t>
            </w:r>
          </w:p>
        </w:tc>
        <w:tc>
          <w:tcPr>
            <w:tcW w:type="dxa" w:w="1728"/>
          </w:tcPr>
          <w:p>
            <w:r>
              <w:t>Goal 4 (tenet: stakeholder responsiveness)</w:t>
            </w:r>
          </w:p>
        </w:tc>
      </w:tr>
      <w:tr>
        <w:tc>
          <w:tcPr>
            <w:tcW w:type="dxa" w:w="1728"/>
          </w:tcPr>
          <w:p>
            <w:r>
              <w:t>3</w:t>
            </w:r>
          </w:p>
        </w:tc>
        <w:tc>
          <w:tcPr>
            <w:tcW w:type="dxa" w:w="1728"/>
          </w:tcPr>
          <w:p>
            <w:r>
              <w:t>Respond to Lorena's keyword data and strategy request (14 days overdue from 3/19 email)</w:t>
            </w:r>
          </w:p>
        </w:tc>
        <w:tc>
          <w:tcPr>
            <w:tcW w:type="dxa" w:w="1728"/>
          </w:tcPr>
          <w:p>
            <w:r>
              <w:t>Richard</w:t>
            </w:r>
          </w:p>
        </w:tc>
        <w:tc>
          <w:tcPr>
            <w:tcW w:type="dxa" w:w="1728"/>
          </w:tcPr>
          <w:p>
            <w:r>
              <w:t>Apr 13</w:t>
            </w:r>
          </w:p>
        </w:tc>
        <w:tc>
          <w:tcPr>
            <w:tcW w:type="dxa" w:w="1728"/>
          </w:tcPr>
          <w:p>
            <w:r>
              <w:t>Goal 4</w:t>
            </w:r>
          </w:p>
        </w:tc>
      </w:tr>
      <w:tr>
        <w:tc>
          <w:tcPr>
            <w:tcW w:type="dxa" w:w="1728"/>
          </w:tcPr>
          <w:p>
            <w:r>
              <w:t>4</w:t>
            </w:r>
          </w:p>
        </w:tc>
        <w:tc>
          <w:tcPr>
            <w:tcW w:type="dxa" w:w="1728"/>
          </w:tcPr>
          <w:p>
            <w:r>
              <w:t>Review NB bid strategy aggressiveness: CPC at $1.95 (12-week high) without proportional CVR gains suggests diminishing returns on marginal NB clicks</w:t>
            </w:r>
          </w:p>
        </w:tc>
        <w:tc>
          <w:tcPr>
            <w:tcW w:type="dxa" w:w="1728"/>
          </w:tcPr>
          <w:p>
            <w:r>
              <w:t>Richard</w:t>
            </w:r>
          </w:p>
        </w:tc>
        <w:tc>
          <w:tcPr>
            <w:tcW w:type="dxa" w:w="1728"/>
          </w:tcPr>
          <w:p>
            <w:r>
              <w:t>Apr 15</w:t>
            </w:r>
          </w:p>
        </w:tc>
        <w:tc>
          <w:tcPr>
            <w:tcW w:type="dxa" w:w="1728"/>
          </w:tcPr>
          <w:p>
            <w:r>
              <w:t>Goal 1, 2</w:t>
            </w:r>
          </w:p>
        </w:tc>
      </w:tr>
      <w:tr>
        <w:tc>
          <w:tcPr>
            <w:tcW w:type="dxa" w:w="1728"/>
          </w:tcPr>
          <w:p>
            <w:r>
              <w:t>5</w:t>
            </w:r>
          </w:p>
        </w:tc>
        <w:tc>
          <w:tcPr>
            <w:tcW w:type="dxa" w:w="1728"/>
          </w:tcPr>
          <w:p>
            <w:r>
              <w:t>Prepare April NB budget reduction plan: with OP2 at $35K vs March's $96K run rate, NB spend needs a significant pullback to maintain ie%CCP</w:t>
            </w:r>
          </w:p>
        </w:tc>
        <w:tc>
          <w:tcPr>
            <w:tcW w:type="dxa" w:w="1728"/>
          </w:tcPr>
          <w:p>
            <w:r>
              <w:t>Richard</w:t>
            </w:r>
          </w:p>
        </w:tc>
        <w:tc>
          <w:tcPr>
            <w:tcW w:type="dxa" w:w="1728"/>
          </w:tcPr>
          <w:p>
            <w:r>
              <w:t>Apr 16</w:t>
            </w:r>
          </w:p>
        </w:tc>
        <w:tc>
          <w:tcPr>
            <w:tcW w:type="dxa" w:w="1728"/>
          </w:tcPr>
          <w:p>
            <w:r>
              <w:t>Goal 2</w:t>
            </w:r>
          </w:p>
        </w:tc>
      </w:tr>
    </w:tbl>
    <w:p>
      <w:r>
        <w:t>**Blocked items:**</w:t>
      </w:r>
    </w:p>
    <w:p>
      <w:pPr>
        <w:pStyle w:val="ListBullet"/>
      </w:pPr>
      <w:r>
        <w:t>Kingpin Goals MX: blocked by Andes data availability. No action possible until Andes delivers.</w:t>
      </w:r>
    </w:p>
    <w:p>
      <w:pPr>
        <w:pStyle w:val="ListBullet"/>
      </w:pPr>
      <w:r>
        <w:t>MX Auto landing page ref tag overwrite: engineering escalation via Vijeth pending. Attribution is broken on the automotive LP.</w:t>
      </w:r>
    </w:p>
    <w:p>
      <w:pPr>
        <w:pStyle w:val="ListBullet"/>
      </w:pPr>
      <w:r>
        <w:t>Keyword-level registration data: unavailable until Q3 2026. All NB analysis remains directional.</w:t>
      </w:r>
    </w:p>
    <w:p>
      <w:r>
        <w:t>**Stakeholder actions required:**</w:t>
      </w:r>
    </w:p>
    <w:p>
      <w:pPr>
        <w:pStyle w:val="ListBullet"/>
      </w:pPr>
      <w:r>
        <w:t>Lorena: confirm Q2 keyword priorities and Beauty campaign budget allocation.</w:t>
      </w:r>
    </w:p>
    <w:p>
      <w:pPr>
        <w:pStyle w:val="ListBullet"/>
      </w:pPr>
      <w:r>
        <w:t>Vijeth: deliver footer fix for MX Auto page and ref tag overwrite resolution.</w:t>
      </w:r>
    </w:p>
    <w:p>
      <w:pPr>
        <w:pStyle w:val="ListBullet"/>
      </w:pPr>
      <w:r>
        <w:t>Brandon: approve April NB spend reduction plan once modeled.</w:t>
      </w:r>
    </w:p>
    <w:p>
      <w:r>
        <w:t>---</w:t>
      </w:r>
    </w:p>
    <w:p>
      <w:pPr>
        <w:pStyle w:val="Heading2"/>
      </w:pPr>
      <w:r>
        <w:t>Appendix A: Weekly Trend (W6–W13)</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Week</w:t>
            </w:r>
          </w:p>
        </w:tc>
        <w:tc>
          <w:tcPr>
            <w:tcW w:type="dxa" w:w="960"/>
          </w:tcPr>
          <w:p>
            <w:r>
              <w:t>Regs</w:t>
            </w:r>
          </w:p>
        </w:tc>
        <w:tc>
          <w:tcPr>
            <w:tcW w:type="dxa" w:w="960"/>
          </w:tcPr>
          <w:p>
            <w:r>
              <w:t>Brand</w:t>
            </w:r>
          </w:p>
        </w:tc>
        <w:tc>
          <w:tcPr>
            <w:tcW w:type="dxa" w:w="960"/>
          </w:tcPr>
          <w:p>
            <w:r>
              <w:t>NB</w:t>
            </w:r>
          </w:p>
        </w:tc>
        <w:tc>
          <w:tcPr>
            <w:tcW w:type="dxa" w:w="960"/>
          </w:tcPr>
          <w:p>
            <w:r>
              <w:t>Spend</w:t>
            </w:r>
          </w:p>
        </w:tc>
        <w:tc>
          <w:tcPr>
            <w:tcW w:type="dxa" w:w="960"/>
          </w:tcPr>
          <w:p>
            <w:r>
              <w:t>CPA</w:t>
            </w:r>
          </w:p>
        </w:tc>
        <w:tc>
          <w:tcPr>
            <w:tcW w:type="dxa" w:w="960"/>
          </w:tcPr>
          <w:p>
            <w:r>
              <w:t>NB CPA</w:t>
            </w:r>
          </w:p>
        </w:tc>
        <w:tc>
          <w:tcPr>
            <w:tcW w:type="dxa" w:w="960"/>
          </w:tcPr>
          <w:p>
            <w:r>
              <w:t>NB CVR</w:t>
            </w:r>
          </w:p>
        </w:tc>
        <w:tc>
          <w:tcPr>
            <w:tcW w:type="dxa" w:w="960"/>
          </w:tcPr>
          <w:p>
            <w:r>
              <w:t>ie%CCP</w:t>
            </w:r>
          </w:p>
        </w:tc>
      </w:tr>
      <w:tr>
        <w:tc>
          <w:tcPr>
            <w:tcW w:type="dxa" w:w="960"/>
          </w:tcPr>
          <w:p>
            <w:r>
              <w:t>W6</w:t>
            </w:r>
          </w:p>
        </w:tc>
        <w:tc>
          <w:tcPr>
            <w:tcW w:type="dxa" w:w="960"/>
          </w:tcPr>
          <w:p>
            <w:r>
              <w:t>229</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W7</w:t>
            </w:r>
          </w:p>
        </w:tc>
        <w:tc>
          <w:tcPr>
            <w:tcW w:type="dxa" w:w="960"/>
          </w:tcPr>
          <w:p>
            <w:r>
              <w:t>246</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W8</w:t>
            </w:r>
          </w:p>
        </w:tc>
        <w:tc>
          <w:tcPr>
            <w:tcW w:type="dxa" w:w="960"/>
          </w:tcPr>
          <w:p>
            <w:r>
              <w:t>368</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W9</w:t>
            </w:r>
          </w:p>
        </w:tc>
        <w:tc>
          <w:tcPr>
            <w:tcW w:type="dxa" w:w="960"/>
          </w:tcPr>
          <w:p>
            <w:r>
              <w:t>264</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W10</w:t>
            </w:r>
          </w:p>
        </w:tc>
        <w:tc>
          <w:tcPr>
            <w:tcW w:type="dxa" w:w="960"/>
          </w:tcPr>
          <w:p>
            <w:r>
              <w:t>298</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W11</w:t>
            </w:r>
          </w:p>
        </w:tc>
        <w:tc>
          <w:tcPr>
            <w:tcW w:type="dxa" w:w="960"/>
          </w:tcPr>
          <w:p>
            <w:r>
              <w:t>397</w:t>
            </w:r>
          </w:p>
        </w:tc>
        <w:tc>
          <w:tcPr>
            <w:tcW w:type="dxa" w:w="960"/>
          </w:tcPr>
          <w:p>
            <w:r>
              <w:t>246</w:t>
            </w:r>
          </w:p>
        </w:tc>
        <w:tc>
          <w:tcPr>
            <w:tcW w:type="dxa" w:w="960"/>
          </w:tcPr>
          <w:p>
            <w:r>
              <w:t>147</w:t>
            </w:r>
          </w:p>
        </w:tc>
        <w:tc>
          <w:tcPr>
            <w:tcW w:type="dxa" w:w="960"/>
          </w:tcPr>
          <w:p>
            <w:r>
              <w:t>$22K</w:t>
            </w:r>
          </w:p>
        </w:tc>
        <w:tc>
          <w:tcPr>
            <w:tcW w:type="dxa" w:w="960"/>
          </w:tcPr>
          <w:p>
            <w:r>
              <w:t>$57</w:t>
            </w:r>
          </w:p>
        </w:tc>
        <w:tc>
          <w:tcPr>
            <w:tcW w:type="dxa" w:w="960"/>
          </w:tcPr>
          <w:p>
            <w:r>
              <w:t>$121</w:t>
            </w:r>
          </w:p>
        </w:tc>
        <w:tc>
          <w:tcPr>
            <w:tcW w:type="dxa" w:w="960"/>
          </w:tcPr>
          <w:p>
            <w:r>
              <w:t>1.57%</w:t>
            </w:r>
          </w:p>
        </w:tc>
        <w:tc>
          <w:tcPr>
            <w:tcW w:type="dxa" w:w="960"/>
          </w:tcPr>
          <w:p>
            <w:r>
              <w:t>83%</w:t>
            </w:r>
          </w:p>
        </w:tc>
      </w:tr>
      <w:tr>
        <w:tc>
          <w:tcPr>
            <w:tcW w:type="dxa" w:w="960"/>
          </w:tcPr>
          <w:p>
            <w:r>
              <w:t>W12</w:t>
            </w:r>
          </w:p>
        </w:tc>
        <w:tc>
          <w:tcPr>
            <w:tcW w:type="dxa" w:w="960"/>
          </w:tcPr>
          <w:p>
            <w:r>
              <w:t>330</w:t>
            </w:r>
          </w:p>
        </w:tc>
        <w:tc>
          <w:tcPr>
            <w:tcW w:type="dxa" w:w="960"/>
          </w:tcPr>
          <w:p>
            <w:r>
              <w:t>208</w:t>
            </w:r>
          </w:p>
        </w:tc>
        <w:tc>
          <w:tcPr>
            <w:tcW w:type="dxa" w:w="960"/>
          </w:tcPr>
          <w:p>
            <w:r>
              <w:t>122</w:t>
            </w:r>
          </w:p>
        </w:tc>
        <w:tc>
          <w:tcPr>
            <w:tcW w:type="dxa" w:w="960"/>
          </w:tcPr>
          <w:p>
            <w:r>
              <w:t>$20K</w:t>
            </w:r>
          </w:p>
        </w:tc>
        <w:tc>
          <w:tcPr>
            <w:tcW w:type="dxa" w:w="960"/>
          </w:tcPr>
          <w:p>
            <w:r>
              <w:t>$61</w:t>
            </w:r>
          </w:p>
        </w:tc>
        <w:tc>
          <w:tcPr>
            <w:tcW w:type="dxa" w:w="960"/>
          </w:tcPr>
          <w:p>
            <w:r>
              <w:t>$131</w:t>
            </w:r>
          </w:p>
        </w:tc>
        <w:tc>
          <w:tcPr>
            <w:tcW w:type="dxa" w:w="960"/>
          </w:tcPr>
          <w:p>
            <w:r>
              <w:t>1.38%</w:t>
            </w:r>
          </w:p>
        </w:tc>
        <w:tc>
          <w:tcPr>
            <w:tcW w:type="dxa" w:w="960"/>
          </w:tcPr>
          <w:p>
            <w:r>
              <w:t>90%</w:t>
            </w:r>
          </w:p>
        </w:tc>
      </w:tr>
      <w:tr>
        <w:tc>
          <w:tcPr>
            <w:tcW w:type="dxa" w:w="960"/>
          </w:tcPr>
          <w:p>
            <w:r>
              <w:t>W13</w:t>
            </w:r>
          </w:p>
        </w:tc>
        <w:tc>
          <w:tcPr>
            <w:tcW w:type="dxa" w:w="960"/>
          </w:tcPr>
          <w:p>
            <w:r>
              <w:t>354</w:t>
            </w:r>
          </w:p>
        </w:tc>
        <w:tc>
          <w:tcPr>
            <w:tcW w:type="dxa" w:w="960"/>
          </w:tcPr>
          <w:p>
            <w:r>
              <w:t>214</w:t>
            </w:r>
          </w:p>
        </w:tc>
        <w:tc>
          <w:tcPr>
            <w:tcW w:type="dxa" w:w="960"/>
          </w:tcPr>
          <w:p>
            <w:r>
              <w:t>140</w:t>
            </w:r>
          </w:p>
        </w:tc>
        <w:tc>
          <w:tcPr>
            <w:tcW w:type="dxa" w:w="960"/>
          </w:tcPr>
          <w:p>
            <w:r>
              <w:t>$23K</w:t>
            </w:r>
          </w:p>
        </w:tc>
        <w:tc>
          <w:tcPr>
            <w:tcW w:type="dxa" w:w="960"/>
          </w:tcPr>
          <w:p>
            <w:r>
              <w:t>$66</w:t>
            </w:r>
          </w:p>
        </w:tc>
        <w:tc>
          <w:tcPr>
            <w:tcW w:type="dxa" w:w="960"/>
          </w:tcPr>
          <w:p>
            <w:r>
              <w:t>$134</w:t>
            </w:r>
          </w:p>
        </w:tc>
        <w:tc>
          <w:tcPr>
            <w:tcW w:type="dxa" w:w="960"/>
          </w:tcPr>
          <w:p>
            <w:r>
              <w:t>1.46%</w:t>
            </w:r>
          </w:p>
        </w:tc>
        <w:tc>
          <w:tcPr>
            <w:tcW w:type="dxa" w:w="960"/>
          </w:tcPr>
          <w:p>
            <w:r>
              <w:t>99%</w:t>
            </w:r>
          </w:p>
        </w:tc>
      </w:tr>
    </w:tbl>
    <w:p>
      <w:pPr>
        <w:pStyle w:val="Heading2"/>
      </w:pPr>
      <w:r>
        <w:t>Appendix B: YoY Comparison (W13)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2026 W13</w:t>
            </w:r>
          </w:p>
        </w:tc>
        <w:tc>
          <w:tcPr>
            <w:tcW w:type="dxa" w:w="2160"/>
          </w:tcPr>
          <w:p>
            <w:r>
              <w:t>2025 W13</w:t>
            </w:r>
          </w:p>
        </w:tc>
        <w:tc>
          <w:tcPr>
            <w:tcW w:type="dxa" w:w="2160"/>
          </w:tcPr>
          <w:p>
            <w:r>
              <w:t>YoY Δ</w:t>
            </w:r>
          </w:p>
        </w:tc>
      </w:tr>
      <w:tr>
        <w:tc>
          <w:tcPr>
            <w:tcW w:type="dxa" w:w="2160"/>
          </w:tcPr>
          <w:p>
            <w:r>
              <w:t>Registrations</w:t>
            </w:r>
          </w:p>
        </w:tc>
        <w:tc>
          <w:tcPr>
            <w:tcW w:type="dxa" w:w="2160"/>
          </w:tcPr>
          <w:p>
            <w:r>
              <w:t>354</w:t>
            </w:r>
          </w:p>
        </w:tc>
        <w:tc>
          <w:tcPr>
            <w:tcW w:type="dxa" w:w="2160"/>
          </w:tcPr>
          <w:p>
            <w:r>
              <w:t>185</w:t>
            </w:r>
          </w:p>
        </w:tc>
        <w:tc>
          <w:tcPr>
            <w:tcW w:type="dxa" w:w="2160"/>
          </w:tcPr>
          <w:p>
            <w:r>
              <w:t>+91%</w:t>
            </w:r>
          </w:p>
        </w:tc>
      </w:tr>
      <w:tr>
        <w:tc>
          <w:tcPr>
            <w:tcW w:type="dxa" w:w="2160"/>
          </w:tcPr>
          <w:p>
            <w:r>
              <w:t>Spend</w:t>
            </w:r>
          </w:p>
        </w:tc>
        <w:tc>
          <w:tcPr>
            <w:tcW w:type="dxa" w:w="2160"/>
          </w:tcPr>
          <w:p>
            <w:r>
              <w:t>$23K</w:t>
            </w:r>
          </w:p>
        </w:tc>
        <w:tc>
          <w:tcPr>
            <w:tcW w:type="dxa" w:w="2160"/>
          </w:tcPr>
          <w:p>
            <w:r>
              <w:t>$34K</w:t>
            </w:r>
          </w:p>
        </w:tc>
        <w:tc>
          <w:tcPr>
            <w:tcW w:type="dxa" w:w="2160"/>
          </w:tcPr>
          <w:p>
            <w:r>
              <w:t>-32%</w:t>
            </w:r>
          </w:p>
        </w:tc>
      </w:tr>
      <w:tr>
        <w:tc>
          <w:tcPr>
            <w:tcW w:type="dxa" w:w="2160"/>
          </w:tcPr>
          <w:p>
            <w:r>
              <w:t>Brand regs</w:t>
            </w:r>
          </w:p>
        </w:tc>
        <w:tc>
          <w:tcPr>
            <w:tcW w:type="dxa" w:w="2160"/>
          </w:tcPr>
          <w:p>
            <w:r>
              <w:t>214</w:t>
            </w:r>
          </w:p>
        </w:tc>
        <w:tc>
          <w:tcPr>
            <w:tcW w:type="dxa" w:w="2160"/>
          </w:tcPr>
          <w:p>
            <w:r>
              <w:t>—</w:t>
            </w:r>
          </w:p>
        </w:tc>
        <w:tc>
          <w:tcPr>
            <w:tcW w:type="dxa" w:w="2160"/>
          </w:tcPr>
          <w:p>
            <w:r>
              <w:t>+182%</w:t>
            </w:r>
          </w:p>
        </w:tc>
      </w:tr>
      <w:tr>
        <w:tc>
          <w:tcPr>
            <w:tcW w:type="dxa" w:w="2160"/>
          </w:tcPr>
          <w:p>
            <w:r>
              <w:t>NB regs</w:t>
            </w:r>
          </w:p>
        </w:tc>
        <w:tc>
          <w:tcPr>
            <w:tcW w:type="dxa" w:w="2160"/>
          </w:tcPr>
          <w:p>
            <w:r>
              <w:t>140</w:t>
            </w:r>
          </w:p>
        </w:tc>
        <w:tc>
          <w:tcPr>
            <w:tcW w:type="dxa" w:w="2160"/>
          </w:tcPr>
          <w:p>
            <w:r>
              <w:t>—</w:t>
            </w:r>
          </w:p>
        </w:tc>
        <w:tc>
          <w:tcPr>
            <w:tcW w:type="dxa" w:w="2160"/>
          </w:tcPr>
          <w:p>
            <w:r>
              <w:t>+28%</w:t>
            </w:r>
          </w:p>
        </w:tc>
      </w:tr>
      <w:tr>
        <w:tc>
          <w:tcPr>
            <w:tcW w:type="dxa" w:w="2160"/>
          </w:tcPr>
          <w:p>
            <w:r>
              <w:t>NB CPA</w:t>
            </w:r>
          </w:p>
        </w:tc>
        <w:tc>
          <w:tcPr>
            <w:tcW w:type="dxa" w:w="2160"/>
          </w:tcPr>
          <w:p>
            <w:r>
              <w:t>$134</w:t>
            </w:r>
          </w:p>
        </w:tc>
        <w:tc>
          <w:tcPr>
            <w:tcW w:type="dxa" w:w="2160"/>
          </w:tcPr>
          <w:p>
            <w:r>
              <w:t>$309</w:t>
            </w:r>
          </w:p>
        </w:tc>
        <w:tc>
          <w:tcPr>
            <w:tcW w:type="dxa" w:w="2160"/>
          </w:tcPr>
          <w:p>
            <w:r>
              <w:t>-57%</w:t>
            </w:r>
          </w:p>
        </w:tc>
      </w:tr>
    </w:tbl>
    <w:p>
      <w:pPr>
        <w:pStyle w:val="Heading2"/>
      </w:pPr>
      <w:r>
        <w:t>Appendix C: March 2026 Monthly Projection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MTD (28/31 days)</w:t>
            </w:r>
          </w:p>
        </w:tc>
        <w:tc>
          <w:tcPr>
            <w:tcW w:type="dxa" w:w="1728"/>
          </w:tcPr>
          <w:p>
            <w:r>
              <w:t>Projected EOM</w:t>
            </w:r>
          </w:p>
        </w:tc>
        <w:tc>
          <w:tcPr>
            <w:tcW w:type="dxa" w:w="1728"/>
          </w:tcPr>
          <w:p>
            <w:r>
              <w:t>OP2 Target</w:t>
            </w:r>
          </w:p>
        </w:tc>
        <w:tc>
          <w:tcPr>
            <w:tcW w:type="dxa" w:w="1728"/>
          </w:tcPr>
          <w:p>
            <w:r>
              <w:t>vs OP2</w:t>
            </w:r>
          </w:p>
        </w:tc>
      </w:tr>
      <w:tr>
        <w:tc>
          <w:tcPr>
            <w:tcW w:type="dxa" w:w="1728"/>
          </w:tcPr>
          <w:p>
            <w:r>
              <w:t>Registrations</w:t>
            </w:r>
          </w:p>
        </w:tc>
        <w:tc>
          <w:tcPr>
            <w:tcW w:type="dxa" w:w="1728"/>
          </w:tcPr>
          <w:p>
            <w:r>
              <w:t>1,370</w:t>
            </w:r>
          </w:p>
        </w:tc>
        <w:tc>
          <w:tcPr>
            <w:tcW w:type="dxa" w:w="1728"/>
          </w:tcPr>
          <w:p>
            <w:r>
              <w:t>~1,500</w:t>
            </w:r>
          </w:p>
        </w:tc>
        <w:tc>
          <w:tcPr>
            <w:tcW w:type="dxa" w:w="1728"/>
          </w:tcPr>
          <w:p>
            <w:r>
              <w:t>859</w:t>
            </w:r>
          </w:p>
        </w:tc>
        <w:tc>
          <w:tcPr>
            <w:tcW w:type="dxa" w:w="1728"/>
          </w:tcPr>
          <w:p>
            <w:r>
              <w:t>+76%</w:t>
            </w:r>
          </w:p>
        </w:tc>
      </w:tr>
      <w:tr>
        <w:tc>
          <w:tcPr>
            <w:tcW w:type="dxa" w:w="1728"/>
          </w:tcPr>
          <w:p>
            <w:r>
              <w:t>Spend</w:t>
            </w:r>
          </w:p>
        </w:tc>
        <w:tc>
          <w:tcPr>
            <w:tcW w:type="dxa" w:w="1728"/>
          </w:tcPr>
          <w:p>
            <w:r>
              <w:t>$86K</w:t>
            </w:r>
          </w:p>
        </w:tc>
        <w:tc>
          <w:tcPr>
            <w:tcW w:type="dxa" w:w="1728"/>
          </w:tcPr>
          <w:p>
            <w:r>
              <w:t>~$96K</w:t>
            </w:r>
          </w:p>
        </w:tc>
        <w:tc>
          <w:tcPr>
            <w:tcW w:type="dxa" w:w="1728"/>
          </w:tcPr>
          <w:p>
            <w:r>
              <w:t>$57K</w:t>
            </w:r>
          </w:p>
        </w:tc>
        <w:tc>
          <w:tcPr>
            <w:tcW w:type="dxa" w:w="1728"/>
          </w:tcPr>
          <w:p>
            <w:r>
              <w:t>+70%</w:t>
            </w:r>
          </w:p>
        </w:tc>
      </w:tr>
      <w:tr>
        <w:tc>
          <w:tcPr>
            <w:tcW w:type="dxa" w:w="1728"/>
          </w:tcPr>
          <w:p>
            <w:r>
              <w:t>CPA</w:t>
            </w:r>
          </w:p>
        </w:tc>
        <w:tc>
          <w:tcPr>
            <w:tcW w:type="dxa" w:w="1728"/>
          </w:tcPr>
          <w:p>
            <w:r>
              <w:t>$63</w:t>
            </w:r>
          </w:p>
        </w:tc>
        <w:tc>
          <w:tcPr>
            <w:tcW w:type="dxa" w:w="1728"/>
          </w:tcPr>
          <w:p>
            <w:r>
              <w:t>~$64</w:t>
            </w:r>
          </w:p>
        </w:tc>
        <w:tc>
          <w:tcPr>
            <w:tcW w:type="dxa" w:w="1728"/>
          </w:tcPr>
          <w:p>
            <w:r>
              <w:t>$66</w:t>
            </w:r>
          </w:p>
        </w:tc>
        <w:tc>
          <w:tcPr>
            <w:tcW w:type="dxa" w:w="1728"/>
          </w:tcPr>
          <w:p>
            <w:r>
              <w:t>-3% (better)</w:t>
            </w:r>
          </w:p>
        </w:tc>
      </w:tr>
      <w:tr>
        <w:tc>
          <w:tcPr>
            <w:tcW w:type="dxa" w:w="1728"/>
          </w:tcPr>
          <w:p>
            <w:r>
              <w:t>ie%CCP</w:t>
            </w:r>
          </w:p>
        </w:tc>
        <w:tc>
          <w:tcPr>
            <w:tcW w:type="dxa" w:w="1728"/>
          </w:tcPr>
          <w:p>
            <w:r>
              <w:t>99%</w:t>
            </w:r>
          </w:p>
        </w:tc>
        <w:tc>
          <w:tcPr>
            <w:tcW w:type="dxa" w:w="1728"/>
          </w:tcPr>
          <w:p>
            <w:r>
              <w:t>~100%</w:t>
            </w:r>
          </w:p>
        </w:tc>
        <w:tc>
          <w:tcPr>
            <w:tcW w:type="dxa" w:w="1728"/>
          </w:tcPr>
          <w:p>
            <w:r>
              <w:t>100%</w:t>
            </w:r>
          </w:p>
        </w:tc>
        <w:tc>
          <w:tcPr>
            <w:tcW w:type="dxa" w:w="1728"/>
          </w:tcPr>
          <w:p>
            <w:r>
              <w:t>On target</w:t>
            </w:r>
          </w:p>
        </w:tc>
      </w:tr>
    </w:tbl>
    <w:p>
      <w:pPr>
        <w:pStyle w:val="Heading2"/>
      </w:pPr>
      <w:r>
        <w:t>Appendix D: FY26 Scenario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OP2</w:t>
            </w:r>
          </w:p>
        </w:tc>
        <w:tc>
          <w:tcPr>
            <w:tcW w:type="dxa" w:w="2160"/>
          </w:tcPr>
          <w:p>
            <w:r>
              <w:t>Scenario 1 (100% ie%CCP)</w:t>
            </w:r>
          </w:p>
        </w:tc>
        <w:tc>
          <w:tcPr>
            <w:tcW w:type="dxa" w:w="2160"/>
          </w:tcPr>
          <w:p>
            <w:r>
              <w:t>Scenario 2 (75% ie%CCP)</w:t>
            </w:r>
          </w:p>
        </w:tc>
      </w:tr>
      <w:tr>
        <w:tc>
          <w:tcPr>
            <w:tcW w:type="dxa" w:w="2160"/>
          </w:tcPr>
          <w:p>
            <w:r>
              <w:t>Total spend</w:t>
            </w:r>
          </w:p>
        </w:tc>
        <w:tc>
          <w:tcPr>
            <w:tcW w:type="dxa" w:w="2160"/>
          </w:tcPr>
          <w:p>
            <w:r>
              <w:t>$542K</w:t>
            </w:r>
          </w:p>
        </w:tc>
        <w:tc>
          <w:tcPr>
            <w:tcW w:type="dxa" w:w="2160"/>
          </w:tcPr>
          <w:p>
            <w:r>
              <w:t>$959K (+77%)</w:t>
            </w:r>
          </w:p>
        </w:tc>
        <w:tc>
          <w:tcPr>
            <w:tcW w:type="dxa" w:w="2160"/>
          </w:tcPr>
          <w:p>
            <w:r>
              <w:t>$745K (+37%)</w:t>
            </w:r>
          </w:p>
        </w:tc>
      </w:tr>
      <w:tr>
        <w:tc>
          <w:tcPr>
            <w:tcW w:type="dxa" w:w="2160"/>
          </w:tcPr>
          <w:p>
            <w:r>
              <w:t>Total regs</w:t>
            </w:r>
          </w:p>
        </w:tc>
        <w:tc>
          <w:tcPr>
            <w:tcW w:type="dxa" w:w="2160"/>
          </w:tcPr>
          <w:p>
            <w:r>
              <w:t>11,178</w:t>
            </w:r>
          </w:p>
        </w:tc>
        <w:tc>
          <w:tcPr>
            <w:tcW w:type="dxa" w:w="2160"/>
          </w:tcPr>
          <w:p>
            <w:r>
              <w:t>15,051 (+35%)</w:t>
            </w:r>
          </w:p>
        </w:tc>
        <w:tc>
          <w:tcPr>
            <w:tcW w:type="dxa" w:w="2160"/>
          </w:tcPr>
          <w:p>
            <w:r>
              <w:t>13,948 (+25%)</w:t>
            </w:r>
          </w:p>
        </w:tc>
      </w:tr>
      <w:tr>
        <w:tc>
          <w:tcPr>
            <w:tcW w:type="dxa" w:w="2160"/>
          </w:tcPr>
          <w:p>
            <w:r>
              <w:t>Blended CPA</w:t>
            </w:r>
          </w:p>
        </w:tc>
        <w:tc>
          <w:tcPr>
            <w:tcW w:type="dxa" w:w="2160"/>
          </w:tcPr>
          <w:p>
            <w:r>
              <w:t>$48</w:t>
            </w:r>
          </w:p>
        </w:tc>
        <w:tc>
          <w:tcPr>
            <w:tcW w:type="dxa" w:w="2160"/>
          </w:tcPr>
          <w:p>
            <w:r>
              <w:t>$64</w:t>
            </w:r>
          </w:p>
        </w:tc>
        <w:tc>
          <w:tcPr>
            <w:tcW w:type="dxa" w:w="2160"/>
          </w:tcPr>
          <w:p>
            <w:r>
              <w:t>$53</w:t>
            </w:r>
          </w:p>
        </w:tc>
      </w:tr>
      <w:tr>
        <w:tc>
          <w:tcPr>
            <w:tcW w:type="dxa" w:w="2160"/>
          </w:tcPr>
          <w:p>
            <w:r>
              <w:t>ie%CCP</w:t>
            </w:r>
          </w:p>
        </w:tc>
        <w:tc>
          <w:tcPr>
            <w:tcW w:type="dxa" w:w="2160"/>
          </w:tcPr>
          <w:p>
            <w:r>
              <w:t>~75%</w:t>
            </w:r>
          </w:p>
        </w:tc>
        <w:tc>
          <w:tcPr>
            <w:tcW w:type="dxa" w:w="2160"/>
          </w:tcPr>
          <w:p>
            <w:r>
              <w:t>~96%</w:t>
            </w:r>
          </w:p>
        </w:tc>
        <w:tc>
          <w:tcPr>
            <w:tcW w:type="dxa" w:w="2160"/>
          </w:tcPr>
          <w:p>
            <w:r>
              <w:t>~79%</w:t>
            </w:r>
          </w:p>
        </w:tc>
      </w:tr>
    </w:tbl>
    <w:p>
      <w:r>
        <w:t>Finance allocation: $1.8M. OP2 spend is the ie%CCP-constrained plan. Both upside scenarios are within the finance envelope.</w:t>
      </w:r>
    </w:p>
    <w:p>
      <w:pPr>
        <w:pStyle w:val="Heading2"/>
      </w:pPr>
      <w:r>
        <w:t>Appendix E: Change Log (2026 YTD)</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Change</w:t>
            </w:r>
          </w:p>
        </w:tc>
        <w:tc>
          <w:tcPr>
            <w:tcW w:type="dxa" w:w="2880"/>
          </w:tcPr>
          <w:p>
            <w:r>
              <w:t>Owner</w:t>
            </w:r>
          </w:p>
        </w:tc>
      </w:tr>
      <w:tr>
        <w:tc>
          <w:tcPr>
            <w:tcW w:type="dxa" w:w="2880"/>
          </w:tcPr>
          <w:p>
            <w:r>
              <w:t>1/12</w:t>
            </w:r>
          </w:p>
        </w:tc>
        <w:tc>
          <w:tcPr>
            <w:tcW w:type="dxa" w:w="2880"/>
          </w:tcPr>
          <w:p>
            <w:r>
              <w:t>Increased budgets in Brand Phrase and NB to $2K</w:t>
            </w:r>
          </w:p>
        </w:tc>
        <w:tc>
          <w:tcPr>
            <w:tcW w:type="dxa" w:w="2880"/>
          </w:tcPr>
          <w:p>
            <w:r>
              <w:t>Richard</w:t>
            </w:r>
          </w:p>
        </w:tc>
      </w:tr>
      <w:tr>
        <w:tc>
          <w:tcPr>
            <w:tcW w:type="dxa" w:w="2880"/>
          </w:tcPr>
          <w:p>
            <w:r>
              <w:t>1/20</w:t>
            </w:r>
          </w:p>
        </w:tc>
        <w:tc>
          <w:tcPr>
            <w:tcW w:type="dxa" w:w="2880"/>
          </w:tcPr>
          <w:p>
            <w:r>
              <w:t>Increased Brand Plus max CPC from 12 to 18</w:t>
            </w:r>
          </w:p>
        </w:tc>
        <w:tc>
          <w:tcPr>
            <w:tcW w:type="dxa" w:w="2880"/>
          </w:tcPr>
          <w:p>
            <w:r>
              <w:t>Richard</w:t>
            </w:r>
          </w:p>
        </w:tc>
      </w:tr>
      <w:tr>
        <w:tc>
          <w:tcPr>
            <w:tcW w:type="dxa" w:w="2880"/>
          </w:tcPr>
          <w:p>
            <w:r>
              <w:t>1/20</w:t>
            </w:r>
          </w:p>
        </w:tc>
        <w:tc>
          <w:tcPr>
            <w:tcW w:type="dxa" w:w="2880"/>
          </w:tcPr>
          <w:p>
            <w:r>
              <w:t>Increased NB target budgets +51% ($9.9K→$15K/wk)</w:t>
            </w:r>
          </w:p>
        </w:tc>
        <w:tc>
          <w:tcPr>
            <w:tcW w:type="dxa" w:w="2880"/>
          </w:tcPr>
          <w:p>
            <w:r>
              <w:t>Richard</w:t>
            </w:r>
          </w:p>
        </w:tc>
      </w:tr>
      <w:tr>
        <w:tc>
          <w:tcPr>
            <w:tcW w:type="dxa" w:w="2880"/>
          </w:tcPr>
          <w:p>
            <w:r>
              <w:t>2/3</w:t>
            </w:r>
          </w:p>
        </w:tc>
        <w:tc>
          <w:tcPr>
            <w:tcW w:type="dxa" w:w="2880"/>
          </w:tcPr>
          <w:p>
            <w:r>
              <w:t>Decreased NB budget -19% to align with Feb budget and 100% ie%CCP</w:t>
            </w:r>
          </w:p>
        </w:tc>
        <w:tc>
          <w:tcPr>
            <w:tcW w:type="dxa" w:w="2880"/>
          </w:tcPr>
          <w:p>
            <w:r>
              <w:t>Richard</w:t>
            </w:r>
          </w:p>
        </w:tc>
      </w:tr>
      <w:tr>
        <w:tc>
          <w:tcPr>
            <w:tcW w:type="dxa" w:w="2880"/>
          </w:tcPr>
          <w:p>
            <w:r>
              <w:t>2/10</w:t>
            </w:r>
          </w:p>
        </w:tc>
        <w:tc>
          <w:tcPr>
            <w:tcW w:type="dxa" w:w="2880"/>
          </w:tcPr>
          <w:p>
            <w:r>
              <w:t>Changed Generic to CPT bidding; increased NB budget +5%</w:t>
            </w:r>
          </w:p>
        </w:tc>
        <w:tc>
          <w:tcPr>
            <w:tcW w:type="dxa" w:w="2880"/>
          </w:tcPr>
          <w:p>
            <w:r>
              <w:t>Richard</w:t>
            </w:r>
          </w:p>
        </w:tc>
      </w:tr>
      <w:tr>
        <w:tc>
          <w:tcPr>
            <w:tcW w:type="dxa" w:w="2880"/>
          </w:tcPr>
          <w:p>
            <w:r>
              <w:t>2/23</w:t>
            </w:r>
          </w:p>
        </w:tc>
        <w:tc>
          <w:tcPr>
            <w:tcW w:type="dxa" w:w="2880"/>
          </w:tcPr>
          <w:p>
            <w:r>
              <w:t>Transitioned all NB to CPT portfolio; targeting +30% spend</w:t>
            </w:r>
          </w:p>
        </w:tc>
        <w:tc>
          <w:tcPr>
            <w:tcW w:type="dxa" w:w="2880"/>
          </w:tcPr>
          <w:p>
            <w:r>
              <w:t>Richard</w:t>
            </w:r>
          </w:p>
        </w:tc>
      </w:tr>
      <w:tr>
        <w:tc>
          <w:tcPr>
            <w:tcW w:type="dxa" w:w="2880"/>
          </w:tcPr>
          <w:p>
            <w:r>
              <w:t>3/5</w:t>
            </w:r>
          </w:p>
        </w:tc>
        <w:tc>
          <w:tcPr>
            <w:tcW w:type="dxa" w:w="2880"/>
          </w:tcPr>
          <w:p>
            <w:r>
              <w:t>Added negatives to improve query routing (Generic + Brand Phrase)</w:t>
            </w:r>
          </w:p>
        </w:tc>
        <w:tc>
          <w:tcPr>
            <w:tcW w:type="dxa" w:w="2880"/>
          </w:tcPr>
          <w:p>
            <w:r>
              <w:t>Richard</w:t>
            </w:r>
          </w:p>
        </w:tc>
      </w:tr>
      <w:tr>
        <w:tc>
          <w:tcPr>
            <w:tcW w:type="dxa" w:w="2880"/>
          </w:tcPr>
          <w:p>
            <w:r>
              <w:t>3/5</w:t>
            </w:r>
          </w:p>
        </w:tc>
        <w:tc>
          <w:tcPr>
            <w:tcW w:type="dxa" w:w="2880"/>
          </w:tcPr>
          <w:p>
            <w:r>
              <w:t>Left budgets/bids unchanged based on weekly performance</w:t>
            </w:r>
          </w:p>
        </w:tc>
        <w:tc>
          <w:tcPr>
            <w:tcW w:type="dxa" w:w="2880"/>
          </w:tcPr>
          <w:p>
            <w:r>
              <w:t>Richard</w:t>
            </w:r>
          </w:p>
        </w:tc>
      </w:tr>
    </w:tbl>
    <w:p>
      <w:pPr>
        <w:pStyle w:val="Heading2"/>
      </w:pPr>
      <w:r>
        <w:t>Appendix F: Variance Bridge — Data Source Reconciliation</w:t>
      </w:r>
    </w:p>
    <w:p>
      <w:r>
        <w:t>MX currently operates without OCI (Online Conversion Integration). All conversion data flows through Google Ads native tracking. No variance bridge between advertising platform and internal ERP is required at this time. When OCI launches for MX (timeline TBD, no MCC created), this section will document the expected 5–15% discrepancy between Ordered Product Sales and Shipped Product Sales, and the reconciliation methodology.</w:t>
      </w:r>
    </w:p>
    <w:p>
      <w:r>
        <w:t>**Known data limitation:** ie%CCP ratios are calculated from dashboard CCP values (Brand $90, NB $30). If finance revises CCP downward, ie%CCP tightens and NB capacity shrinks. The dashboard ingester corrected an ie%CCP calculation bug on 3/30 (was reading CPA instead of ie%CCP ratios).</w:t>
      </w:r>
    </w:p>
    <w:p>
      <w:r>
        <w:t>**Graph API concurrency protocol:** When the agent swarm updates this file on SharePoint, it must: (1) read the current eTag of the .docx before initiating XML patching, (2) if the eTag has changed during generation (another user or agent modified the file), fail the update and retry from fetch, (3) respect the 5MB file size limit — current .docx is ~44KB, well within bounds. Authentication uses the device code flow configured in the SharePoint MCP server.</w:t>
      </w:r>
    </w:p>
    <w:p>
      <w:r>
        <w:t>---</w:t>
      </w:r>
    </w:p>
    <w:p>
      <w:pPr>
        <w:pStyle w:val="Heading2"/>
      </w:pPr>
      <w:r>
        <w:t>Appendix H: Placeholder Schema for Automated Refresh</w:t>
      </w:r>
    </w:p>
    <w:p>
      <w:r>
        <w:t>This schema defines the contract between the Kiro agent swarm (LLM output) and the DOCX template (deterministic patching). The agent generates a JSON payload mapping these keys to generated strings. A patching script replaces the placeholders in the Word XML without touching surrounding formatting.</w:t>
      </w:r>
    </w:p>
    <w:p>
      <w:pPr>
        <w:pStyle w:val="Heading3"/>
      </w:pPr>
      <w:r>
        <w:t>Placeholder Taxonomy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Placeholder Tag</w:t>
            </w:r>
          </w:p>
        </w:tc>
        <w:tc>
          <w:tcPr>
            <w:tcW w:type="dxa" w:w="2160"/>
          </w:tcPr>
          <w:p>
            <w:r>
              <w:t>Section</w:t>
            </w:r>
          </w:p>
        </w:tc>
        <w:tc>
          <w:tcPr>
            <w:tcW w:type="dxa" w:w="2160"/>
          </w:tcPr>
          <w:p>
            <w:r>
              <w:t>Data Source</w:t>
            </w:r>
          </w:p>
        </w:tc>
        <w:tc>
          <w:tcPr>
            <w:tcW w:type="dxa" w:w="2160"/>
          </w:tcPr>
          <w:p>
            <w:r>
              <w:t>Update Cadence</w:t>
            </w:r>
          </w:p>
        </w:tc>
      </w:tr>
      <w:tr>
        <w:tc>
          <w:tcPr>
            <w:tcW w:type="dxa" w:w="2160"/>
          </w:tcPr>
          <w:p>
            <w:r>
              <w:t>`{{REPORTING_PERIOD}}`</w:t>
            </w:r>
          </w:p>
        </w:tc>
        <w:tc>
          <w:tcPr>
            <w:tcW w:type="dxa" w:w="2160"/>
          </w:tcPr>
          <w:p>
            <w:r>
              <w:t>Header</w:t>
            </w:r>
          </w:p>
        </w:tc>
        <w:tc>
          <w:tcPr>
            <w:tcW w:type="dxa" w:w="2160"/>
          </w:tcPr>
          <w:p>
            <w:r>
              <w:t>Calendar + dashboard week</w:t>
            </w:r>
          </w:p>
        </w:tc>
        <w:tc>
          <w:tcPr>
            <w:tcW w:type="dxa" w:w="2160"/>
          </w:tcPr>
          <w:p>
            <w:r>
              <w:t>Weekly</w:t>
            </w:r>
          </w:p>
        </w:tc>
      </w:tr>
      <w:tr>
        <w:tc>
          <w:tcPr>
            <w:tcW w:type="dxa" w:w="2160"/>
          </w:tcPr>
          <w:p>
            <w:r>
              <w:t>`{{INTRO_PARAGRAPH}}`</w:t>
            </w:r>
          </w:p>
        </w:tc>
        <w:tc>
          <w:tcPr>
            <w:tcW w:type="dxa" w:w="2160"/>
          </w:tcPr>
          <w:p>
            <w:r>
              <w:t>Introduction</w:t>
            </w:r>
          </w:p>
        </w:tc>
        <w:tc>
          <w:tcPr>
            <w:tcW w:type="dxa" w:w="2160"/>
          </w:tcPr>
          <w:p>
            <w:r>
              <w:t>Semi-static; update on stakeholder/structural changes</w:t>
            </w:r>
          </w:p>
        </w:tc>
        <w:tc>
          <w:tcPr>
            <w:tcW w:type="dxa" w:w="2160"/>
          </w:tcPr>
          <w:p>
            <w:r>
              <w:t>Monthly</w:t>
            </w:r>
          </w:p>
        </w:tc>
      </w:tr>
      <w:tr>
        <w:tc>
          <w:tcPr>
            <w:tcW w:type="dxa" w:w="2160"/>
          </w:tcPr>
          <w:p>
            <w:r>
              <w:t>`{{SOTB_PARAGRAPH_1}}`</w:t>
            </w:r>
          </w:p>
        </w:tc>
        <w:tc>
          <w:tcPr>
            <w:tcW w:type="dxa" w:w="2160"/>
          </w:tcPr>
          <w:p>
            <w:r>
              <w:t>State of Business — headline</w:t>
            </w:r>
          </w:p>
        </w:tc>
        <w:tc>
          <w:tcPr>
            <w:tcW w:type="dxa" w:w="2160"/>
          </w:tcPr>
          <w:p>
            <w:r>
              <w:t>Weekly metrics JSON</w:t>
            </w:r>
          </w:p>
        </w:tc>
        <w:tc>
          <w:tcPr>
            <w:tcW w:type="dxa" w:w="2160"/>
          </w:tcPr>
          <w:p>
            <w:r>
              <w:t>Weekly</w:t>
            </w:r>
          </w:p>
        </w:tc>
      </w:tr>
      <w:tr>
        <w:tc>
          <w:tcPr>
            <w:tcW w:type="dxa" w:w="2160"/>
          </w:tcPr>
          <w:p>
            <w:r>
              <w:t>`{{SOTB_INPUT_TABLE}}`</w:t>
            </w:r>
          </w:p>
        </w:tc>
        <w:tc>
          <w:tcPr>
            <w:tcW w:type="dxa" w:w="2160"/>
          </w:tcPr>
          <w:p>
            <w:r>
              <w:t>State of Business — input metrics</w:t>
            </w:r>
          </w:p>
        </w:tc>
        <w:tc>
          <w:tcPr>
            <w:tcW w:type="dxa" w:w="2160"/>
          </w:tcPr>
          <w:p>
            <w:r>
              <w:t>Weekly metrics JSON</w:t>
            </w:r>
          </w:p>
        </w:tc>
        <w:tc>
          <w:tcPr>
            <w:tcW w:type="dxa" w:w="2160"/>
          </w:tcPr>
          <w:p>
            <w:r>
              <w:t>Weekly</w:t>
            </w:r>
          </w:p>
        </w:tc>
      </w:tr>
      <w:tr>
        <w:tc>
          <w:tcPr>
            <w:tcW w:type="dxa" w:w="2160"/>
          </w:tcPr>
          <w:p>
            <w:r>
              <w:t>`{{SOTB_OUTPUT_TABLE}}`</w:t>
            </w:r>
          </w:p>
        </w:tc>
        <w:tc>
          <w:tcPr>
            <w:tcW w:type="dxa" w:w="2160"/>
          </w:tcPr>
          <w:p>
            <w:r>
              <w:t>State of Business — output metrics</w:t>
            </w:r>
          </w:p>
        </w:tc>
        <w:tc>
          <w:tcPr>
            <w:tcW w:type="dxa" w:w="2160"/>
          </w:tcPr>
          <w:p>
            <w:r>
              <w:t>Weekly metrics JSON</w:t>
            </w:r>
          </w:p>
        </w:tc>
        <w:tc>
          <w:tcPr>
            <w:tcW w:type="dxa" w:w="2160"/>
          </w:tcPr>
          <w:p>
            <w:r>
              <w:t>Weekly</w:t>
            </w:r>
          </w:p>
        </w:tc>
      </w:tr>
      <w:tr>
        <w:tc>
          <w:tcPr>
            <w:tcW w:type="dxa" w:w="2160"/>
          </w:tcPr>
          <w:p>
            <w:r>
              <w:t>`{{SOTB_ANALYSIS}}`</w:t>
            </w:r>
          </w:p>
        </w:tc>
        <w:tc>
          <w:tcPr>
            <w:tcW w:type="dxa" w:w="2160"/>
          </w:tcPr>
          <w:p>
            <w:r>
              <w:t>State of Business — narrative bridge</w:t>
            </w:r>
          </w:p>
        </w:tc>
        <w:tc>
          <w:tcPr>
            <w:tcW w:type="dxa" w:w="2160"/>
          </w:tcPr>
          <w:p>
            <w:r>
              <w:t>LLM synthesis of input→output causation</w:t>
            </w:r>
          </w:p>
        </w:tc>
        <w:tc>
          <w:tcPr>
            <w:tcW w:type="dxa" w:w="2160"/>
          </w:tcPr>
          <w:p>
            <w:r>
              <w:t>Weekly</w:t>
            </w:r>
          </w:p>
        </w:tc>
      </w:tr>
      <w:tr>
        <w:tc>
          <w:tcPr>
            <w:tcW w:type="dxa" w:w="2160"/>
          </w:tcPr>
          <w:p>
            <w:r>
              <w:t>`{{SOTB_YOY_NARRATIVE}}`</w:t>
            </w:r>
          </w:p>
        </w:tc>
        <w:tc>
          <w:tcPr>
            <w:tcW w:type="dxa" w:w="2160"/>
          </w:tcPr>
          <w:p>
            <w:r>
              <w:t>State of Business — YoY context</w:t>
            </w:r>
          </w:p>
        </w:tc>
        <w:tc>
          <w:tcPr>
            <w:tcW w:type="dxa" w:w="2160"/>
          </w:tcPr>
          <w:p>
            <w:r>
              <w:t>Weekly metrics + LY comparison</w:t>
            </w:r>
          </w:p>
        </w:tc>
        <w:tc>
          <w:tcPr>
            <w:tcW w:type="dxa" w:w="2160"/>
          </w:tcPr>
          <w:p>
            <w:r>
              <w:t>Weekly</w:t>
            </w:r>
          </w:p>
        </w:tc>
      </w:tr>
      <w:tr>
        <w:tc>
          <w:tcPr>
            <w:tcW w:type="dxa" w:w="2160"/>
          </w:tcPr>
          <w:p>
            <w:r>
              <w:t>`{{SOTB_ANOMALY_FLAG}}`</w:t>
            </w:r>
          </w:p>
        </w:tc>
        <w:tc>
          <w:tcPr>
            <w:tcW w:type="dxa" w:w="2160"/>
          </w:tcPr>
          <w:p>
            <w:r>
              <w:t>State of Business — anomaly detection</w:t>
            </w:r>
          </w:p>
        </w:tc>
        <w:tc>
          <w:tcPr>
            <w:tcW w:type="dxa" w:w="2160"/>
          </w:tcPr>
          <w:p>
            <w:r>
              <w:t>Anomaly engine (&gt;20% deviation from 8wk avg)</w:t>
            </w:r>
          </w:p>
        </w:tc>
        <w:tc>
          <w:tcPr>
            <w:tcW w:type="dxa" w:w="2160"/>
          </w:tcPr>
          <w:p>
            <w:r>
              <w:t>Weekly</w:t>
            </w:r>
          </w:p>
        </w:tc>
      </w:tr>
      <w:tr>
        <w:tc>
          <w:tcPr>
            <w:tcW w:type="dxa" w:w="2160"/>
          </w:tcPr>
          <w:p>
            <w:r>
              <w:t>`{{SOTB_NULL_CASE}}`</w:t>
            </w:r>
          </w:p>
        </w:tc>
        <w:tc>
          <w:tcPr>
            <w:tcW w:type="dxa" w:w="2160"/>
          </w:tcPr>
          <w:p>
            <w:r>
              <w:t>State of Business — cost of inaction</w:t>
            </w:r>
          </w:p>
        </w:tc>
        <w:tc>
          <w:tcPr>
            <w:tcW w:type="dxa" w:w="2160"/>
          </w:tcPr>
          <w:p>
            <w:r>
              <w:t>ie%CCP model + budget constraints</w:t>
            </w:r>
          </w:p>
        </w:tc>
        <w:tc>
          <w:tcPr>
            <w:tcW w:type="dxa" w:w="2160"/>
          </w:tcPr>
          <w:p>
            <w:r>
              <w:t>Weekly</w:t>
            </w:r>
          </w:p>
        </w:tc>
      </w:tr>
      <w:tr>
        <w:tc>
          <w:tcPr>
            <w:tcW w:type="dxa" w:w="2160"/>
          </w:tcPr>
          <w:p>
            <w:r>
              <w:t>`{{LESSONS_1}}`</w:t>
            </w:r>
          </w:p>
        </w:tc>
        <w:tc>
          <w:tcPr>
            <w:tcW w:type="dxa" w:w="2160"/>
          </w:tcPr>
          <w:p>
            <w:r>
              <w:t>Lessons Learned — insight 1</w:t>
            </w:r>
          </w:p>
        </w:tc>
        <w:tc>
          <w:tcPr>
            <w:tcW w:type="dxa" w:w="2160"/>
          </w:tcPr>
          <w:p>
            <w:r>
              <w:t>LLM synthesis of trailing 3-week window</w:t>
            </w:r>
          </w:p>
        </w:tc>
        <w:tc>
          <w:tcPr>
            <w:tcW w:type="dxa" w:w="2160"/>
          </w:tcPr>
          <w:p>
            <w:r>
              <w:t>Weekly</w:t>
            </w:r>
          </w:p>
        </w:tc>
      </w:tr>
      <w:tr>
        <w:tc>
          <w:tcPr>
            <w:tcW w:type="dxa" w:w="2160"/>
          </w:tcPr>
          <w:p>
            <w:r>
              <w:t>`{{LESSONS_2}}`</w:t>
            </w:r>
          </w:p>
        </w:tc>
        <w:tc>
          <w:tcPr>
            <w:tcW w:type="dxa" w:w="2160"/>
          </w:tcPr>
          <w:p>
            <w:r>
              <w:t>Lessons Learned — insight 2</w:t>
            </w:r>
          </w:p>
        </w:tc>
        <w:tc>
          <w:tcPr>
            <w:tcW w:type="dxa" w:w="2160"/>
          </w:tcPr>
          <w:p>
            <w:r>
              <w:t>LLM synthesis</w:t>
            </w:r>
          </w:p>
        </w:tc>
        <w:tc>
          <w:tcPr>
            <w:tcW w:type="dxa" w:w="2160"/>
          </w:tcPr>
          <w:p>
            <w:r>
              <w:t>Weekly</w:t>
            </w:r>
          </w:p>
        </w:tc>
      </w:tr>
      <w:tr>
        <w:tc>
          <w:tcPr>
            <w:tcW w:type="dxa" w:w="2160"/>
          </w:tcPr>
          <w:p>
            <w:r>
              <w:t>`{{LESSONS_3}}`</w:t>
            </w:r>
          </w:p>
        </w:tc>
        <w:tc>
          <w:tcPr>
            <w:tcW w:type="dxa" w:w="2160"/>
          </w:tcPr>
          <w:p>
            <w:r>
              <w:t>Lessons Learned — insight 3</w:t>
            </w:r>
          </w:p>
        </w:tc>
        <w:tc>
          <w:tcPr>
            <w:tcW w:type="dxa" w:w="2160"/>
          </w:tcPr>
          <w:p>
            <w:r>
              <w:t>LLM synthesis</w:t>
            </w:r>
          </w:p>
        </w:tc>
        <w:tc>
          <w:tcPr>
            <w:tcW w:type="dxa" w:w="2160"/>
          </w:tcPr>
          <w:p>
            <w:r>
              <w:t>Weekly</w:t>
            </w:r>
          </w:p>
        </w:tc>
      </w:tr>
      <w:tr>
        <w:tc>
          <w:tcPr>
            <w:tcW w:type="dxa" w:w="2160"/>
          </w:tcPr>
          <w:p>
            <w:r>
              <w:t>`{{PRIORITIES_TABLE}}`</w:t>
            </w:r>
          </w:p>
        </w:tc>
        <w:tc>
          <w:tcPr>
            <w:tcW w:type="dxa" w:w="2160"/>
          </w:tcPr>
          <w:p>
            <w:r>
              <w:t>Strategic Priorities — action table</w:t>
            </w:r>
          </w:p>
        </w:tc>
        <w:tc>
          <w:tcPr>
            <w:tcW w:type="dxa" w:w="2160"/>
          </w:tcPr>
          <w:p>
            <w:r>
              <w:t>Asana tasks + overdue items + calendar</w:t>
            </w:r>
          </w:p>
        </w:tc>
        <w:tc>
          <w:tcPr>
            <w:tcW w:type="dxa" w:w="2160"/>
          </w:tcPr>
          <w:p>
            <w:r>
              <w:t>Daily</w:t>
            </w:r>
          </w:p>
        </w:tc>
      </w:tr>
      <w:tr>
        <w:tc>
          <w:tcPr>
            <w:tcW w:type="dxa" w:w="2160"/>
          </w:tcPr>
          <w:p>
            <w:r>
              <w:t>`{{BLOCKED_ITEMS}}`</w:t>
            </w:r>
          </w:p>
        </w:tc>
        <w:tc>
          <w:tcPr>
            <w:tcW w:type="dxa" w:w="2160"/>
          </w:tcPr>
          <w:p>
            <w:r>
              <w:t>Strategic Priorities — blockers</w:t>
            </w:r>
          </w:p>
        </w:tc>
        <w:tc>
          <w:tcPr>
            <w:tcW w:type="dxa" w:w="2160"/>
          </w:tcPr>
          <w:p>
            <w:r>
              <w:t>Asana blocked tasks</w:t>
            </w:r>
          </w:p>
        </w:tc>
        <w:tc>
          <w:tcPr>
            <w:tcW w:type="dxa" w:w="2160"/>
          </w:tcPr>
          <w:p>
            <w:r>
              <w:t>Daily</w:t>
            </w:r>
          </w:p>
        </w:tc>
      </w:tr>
      <w:tr>
        <w:tc>
          <w:tcPr>
            <w:tcW w:type="dxa" w:w="2160"/>
          </w:tcPr>
          <w:p>
            <w:r>
              <w:t>`{{STAKEHOLDER_ACTIONS}}`</w:t>
            </w:r>
          </w:p>
        </w:tc>
        <w:tc>
          <w:tcPr>
            <w:tcW w:type="dxa" w:w="2160"/>
          </w:tcPr>
          <w:p>
            <w:r>
              <w:t>Strategic Priorities — external deps</w:t>
            </w:r>
          </w:p>
        </w:tc>
        <w:tc>
          <w:tcPr>
            <w:tcW w:type="dxa" w:w="2160"/>
          </w:tcPr>
          <w:p>
            <w:r>
              <w:t>Memory.md relationship graph + Asana</w:t>
            </w:r>
          </w:p>
        </w:tc>
        <w:tc>
          <w:tcPr>
            <w:tcW w:type="dxa" w:w="2160"/>
          </w:tcPr>
          <w:p>
            <w:r>
              <w:t>Daily</w:t>
            </w:r>
          </w:p>
        </w:tc>
      </w:tr>
      <w:tr>
        <w:tc>
          <w:tcPr>
            <w:tcW w:type="dxa" w:w="2160"/>
          </w:tcPr>
          <w:p>
            <w:r>
              <w:t>`{{APPENDIX_A_TREND}}`</w:t>
            </w:r>
          </w:p>
        </w:tc>
        <w:tc>
          <w:tcPr>
            <w:tcW w:type="dxa" w:w="2160"/>
          </w:tcPr>
          <w:p>
            <w:r>
              <w:t>Appendix A — weekly trend table</w:t>
            </w:r>
          </w:p>
        </w:tc>
        <w:tc>
          <w:tcPr>
            <w:tcW w:type="dxa" w:w="2160"/>
          </w:tcPr>
          <w:p>
            <w:r>
              <w:t>DuckDB weekly_metrics</w:t>
            </w:r>
          </w:p>
        </w:tc>
        <w:tc>
          <w:tcPr>
            <w:tcW w:type="dxa" w:w="2160"/>
          </w:tcPr>
          <w:p>
            <w:r>
              <w:t>Weekly</w:t>
            </w:r>
          </w:p>
        </w:tc>
      </w:tr>
      <w:tr>
        <w:tc>
          <w:tcPr>
            <w:tcW w:type="dxa" w:w="2160"/>
          </w:tcPr>
          <w:p>
            <w:r>
              <w:t>`{{APPENDIX_B_YOY}}`</w:t>
            </w:r>
          </w:p>
        </w:tc>
        <w:tc>
          <w:tcPr>
            <w:tcW w:type="dxa" w:w="2160"/>
          </w:tcPr>
          <w:p>
            <w:r>
              <w:t>Appendix B — YoY comparison</w:t>
            </w:r>
          </w:p>
        </w:tc>
        <w:tc>
          <w:tcPr>
            <w:tcW w:type="dxa" w:w="2160"/>
          </w:tcPr>
          <w:p>
            <w:r>
              <w:t>DuckDB weekly_metrics + LY data</w:t>
            </w:r>
          </w:p>
        </w:tc>
        <w:tc>
          <w:tcPr>
            <w:tcW w:type="dxa" w:w="2160"/>
          </w:tcPr>
          <w:p>
            <w:r>
              <w:t>Weekly</w:t>
            </w:r>
          </w:p>
        </w:tc>
      </w:tr>
      <w:tr>
        <w:tc>
          <w:tcPr>
            <w:tcW w:type="dxa" w:w="2160"/>
          </w:tcPr>
          <w:p>
            <w:r>
              <w:t>`{{APPENDIX_C_PROJECTION}}`</w:t>
            </w:r>
          </w:p>
        </w:tc>
        <w:tc>
          <w:tcPr>
            <w:tcW w:type="dxa" w:w="2160"/>
          </w:tcPr>
          <w:p>
            <w:r>
              <w:t>Appendix C — monthly projection</w:t>
            </w:r>
          </w:p>
        </w:tc>
        <w:tc>
          <w:tcPr>
            <w:tcW w:type="dxa" w:w="2160"/>
          </w:tcPr>
          <w:p>
            <w:r>
              <w:t>Analyst projection model</w:t>
            </w:r>
          </w:p>
        </w:tc>
        <w:tc>
          <w:tcPr>
            <w:tcW w:type="dxa" w:w="2160"/>
          </w:tcPr>
          <w:p>
            <w:r>
              <w:t>Weekly</w:t>
            </w:r>
          </w:p>
        </w:tc>
      </w:tr>
      <w:tr>
        <w:tc>
          <w:tcPr>
            <w:tcW w:type="dxa" w:w="2160"/>
          </w:tcPr>
          <w:p>
            <w:r>
              <w:t>`{{APPENDIX_D_SCENARIOS}}`</w:t>
            </w:r>
          </w:p>
        </w:tc>
        <w:tc>
          <w:tcPr>
            <w:tcW w:type="dxa" w:w="2160"/>
          </w:tcPr>
          <w:p>
            <w:r>
              <w:t>Appendix D — FY26 scenarios</w:t>
            </w:r>
          </w:p>
        </w:tc>
        <w:tc>
          <w:tcPr>
            <w:tcW w:type="dxa" w:w="2160"/>
          </w:tcPr>
          <w:p>
            <w:r>
              <w:t>FY26 projection model (static until reforecast)</w:t>
            </w:r>
          </w:p>
        </w:tc>
        <w:tc>
          <w:tcPr>
            <w:tcW w:type="dxa" w:w="2160"/>
          </w:tcPr>
          <w:p>
            <w:r>
              <w:t>Monthly</w:t>
            </w:r>
          </w:p>
        </w:tc>
      </w:tr>
      <w:tr>
        <w:tc>
          <w:tcPr>
            <w:tcW w:type="dxa" w:w="2160"/>
          </w:tcPr>
          <w:p>
            <w:r>
              <w:t>`{{APPENDIX_E_CHANGELOG}}`</w:t>
            </w:r>
          </w:p>
        </w:tc>
        <w:tc>
          <w:tcPr>
            <w:tcW w:type="dxa" w:w="2160"/>
          </w:tcPr>
          <w:p>
            <w:r>
              <w:t>Appendix E — change log</w:t>
            </w:r>
          </w:p>
        </w:tc>
        <w:tc>
          <w:tcPr>
            <w:tcW w:type="dxa" w:w="2160"/>
          </w:tcPr>
          <w:p>
            <w:r>
              <w:t>DuckDB change_log table</w:t>
            </w:r>
          </w:p>
        </w:tc>
        <w:tc>
          <w:tcPr>
            <w:tcW w:type="dxa" w:w="2160"/>
          </w:tcPr>
          <w:p>
            <w:r>
              <w:t>On change</w:t>
            </w:r>
          </w:p>
        </w:tc>
      </w:tr>
    </w:tbl>
    <w:p>
      <w:pPr>
        <w:pStyle w:val="Heading3"/>
      </w:pPr>
      <w:r>
        <w:t>JSON Output Contract</w:t>
      </w:r>
    </w:p>
    <w:p>
      <w:r>
        <w:t>The LLM generates a flat JSON object:</w:t>
      </w:r>
    </w:p>
    <w:p>
      <w:pPr/>
      <w:r>
        <w:rPr>
          <w:rFonts w:ascii="Courier New" w:hAnsi="Courier New"/>
          <w:sz w:val="18"/>
        </w:rPr>
        <w:t>{</w:t>
        <w:br/>
        <w:t xml:space="preserve">  "REPORTING_PERIOD": "Week 14 (Mar 29 – Apr 4, 2026)",</w:t>
        <w:br/>
        <w:t xml:space="preserve">  "SOTB_PARAGRAPH_1": "MX drove 340 registrations...",</w:t>
        <w:br/>
        <w:t xml:space="preserve">  "SOTB_INPUT_TABLE": "[markdown table string]",</w:t>
        <w:br/>
        <w:t xml:space="preserve">  "SOTB_OUTPUT_TABLE": "[markdown table string]",</w:t>
        <w:br/>
        <w:t xml:space="preserve">  "SOTB_ANALYSIS": "The W14 registration change was...",</w:t>
        <w:br/>
        <w:t xml:space="preserve">  "SOTB_YOY_NARRATIVE": "YoY performance...",</w:t>
        <w:br/>
        <w:t xml:space="preserve">  "SOTB_ANOMALY_FLAG": "No anomalies detected.",</w:t>
        <w:br/>
        <w:t xml:space="preserve">  "SOTB_NULL_CASE": "If no adjustments...",</w:t>
        <w:br/>
        <w:t xml:space="preserve">  "LESSONS_1": "First insight...",</w:t>
        <w:br/>
        <w:t xml:space="preserve">  "LESSONS_2": "Second insight...",</w:t>
        <w:br/>
        <w:t xml:space="preserve">  "LESSONS_3": "Third insight...",</w:t>
        <w:br/>
        <w:t xml:space="preserve">  "PRIORITIES_TABLE": "[markdown table string]",</w:t>
        <w:br/>
        <w:t xml:space="preserve">  "BLOCKED_ITEMS": "[markdown list]",</w:t>
        <w:br/>
        <w:t xml:space="preserve">  "STAKEHOLDER_ACTIONS": "[markdown list]"</w:t>
        <w:br/>
        <w:t>}</w:t>
      </w:r>
    </w:p>
    <w:p>
      <w:r>
        <w:t>The patching engine (converter.py → to_docx) converts the markdown strings to DOCX elements and injects them at the tagged locations. Static sections (Goals, Tenets, Appendix D scenarios) are NOT in the JSON — they persist unchanged in the template until manually revised.</w:t>
      </w:r>
    </w:p>
    <w:p>
      <w:pPr>
        <w:pStyle w:val="Heading3"/>
      </w:pPr>
      <w:r>
        <w:t>Quality Gates (CI/CD for Prompt Updates)</w:t>
      </w:r>
    </w:p>
    <w:p>
      <w:r>
        <w:t>When a Kiro steering file or prompt template is updated, the following automated checks must pass before the new version goes live:</w:t>
      </w:r>
    </w:p>
    <w:p>
      <w:pPr>
        <w:pStyle w:val="ListNumber"/>
      </w:pPr>
      <w:r>
        <w:t>**Schema validation:** JSON output contains all required keys. No missing placeholders.</w:t>
      </w:r>
    </w:p>
    <w:p>
      <w:pPr>
        <w:pStyle w:val="ListNumber"/>
      </w:pPr>
      <w:r>
        <w:t>**Math verification:** ROAS, CPA, ie%CCP calculations in the output match deterministic recalculation from raw data.</w:t>
      </w:r>
    </w:p>
    <w:p>
      <w:pPr>
        <w:pStyle w:val="ListNumber"/>
      </w:pPr>
      <w:r>
        <w:t>**Weasel word scan:** Output must not contain: "should", "might", "could potentially", "a lot", "many", "better", "significant" (without a number), "improved" (without a delta).</w:t>
      </w:r>
    </w:p>
    <w:p>
      <w:pPr>
        <w:pStyle w:val="ListNumber"/>
      </w:pPr>
      <w:r>
        <w:t>**Style replication:** Non-dynamic sections (Goals, Tenets, Introduction) must match the template exactly (diff = 0 lines changed).</w:t>
      </w:r>
    </w:p>
    <w:p>
      <w:pPr>
        <w:pStyle w:val="ListNumber"/>
      </w:pPr>
      <w:r>
        <w:t>**Content replication:** Historical data in Appendix A/E must match DuckDB source of truth (row-level comparison).</w:t>
      </w:r>
    </w:p>
    <w:p>
      <w:pPr>
        <w:pStyle w:val="ListNumber"/>
      </w:pPr>
      <w:r>
        <w:t>**Page limit enforcement:** Core narrative (Introduction through Strategic Priorities) must not exceed 2 pages at 11pt Calibri, 1-inch margins.</w:t>
      </w:r>
    </w:p>
    <w:p>
      <w:r>
        <w:t>**Blue/green deployment:** New prompt versions output to `Kiro-Drive/state-files/staging/` for 3 days of human review before replacing the production file in `Kiro-Drive/state-files/`.</w:t>
      </w:r>
    </w:p>
    <w:p>
      <w:r>
        <w:t>---</w:t>
      </w:r>
    </w:p>
    <w:p>
      <w:r>
        <w:t>*This document is designed for daily automated refresh via the Kiro agent swarm. Sections marked with placeholder tags (e.g., {{State_Of_Business_Paragraph_1}})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w:t>
      </w:r>
    </w:p>
    <w:p>
      <w:pPr>
        <w:pStyle w:val="Heading2"/>
      </w:pPr>
      <w:r>
        <w:t>Appendix G: Source Links</w:t>
      </w:r>
    </w:p>
    <w:p>
      <w:r>
        <w:t>All source documents referenced in or feeding this state file. Links open in browser.</w:t>
      </w:r>
    </w:p>
    <w:p>
      <w:pPr>
        <w:pStyle w:val="Heading3"/>
      </w:pPr>
      <w:r>
        <w:t>Kiro-Drive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ps-forecast-tracker.xlsx</w:t>
            </w:r>
          </w:p>
        </w:tc>
        <w:tc>
          <w:tcPr>
            <w:tcW w:type="dxa" w:w="2880"/>
          </w:tcPr>
          <w:p>
            <w:r>
              <w:t>WW PS forecast model, budget scenarios</w:t>
            </w:r>
          </w:p>
        </w:tc>
        <w:tc>
          <w:tcPr>
            <w:tcW w:type="dxa" w:w="2880"/>
          </w:tcPr>
          <w:p>
            <w:r>
              <w:t>[Open](https://amazon-my.sharepoint.com/personal/prichwil_amazon_com/Documents/Kiro-Drive/ps-forecast-tracker.xlsx?web=1)</w:t>
            </w:r>
          </w:p>
        </w:tc>
      </w:tr>
      <w:tr>
        <w:tc>
          <w:tcPr>
            <w:tcW w:type="dxa" w:w="2880"/>
          </w:tcPr>
          <w:p>
            <w:r>
              <w:t>ps-testing-dashboard.xlsx</w:t>
            </w:r>
          </w:p>
        </w:tc>
        <w:tc>
          <w:tcPr>
            <w:tcW w:type="dxa" w:w="2880"/>
          </w:tcPr>
          <w:p>
            <w:r>
              <w:t>Active test tracker across all markets</w:t>
            </w:r>
          </w:p>
        </w:tc>
        <w:tc>
          <w:tcPr>
            <w:tcW w:type="dxa" w:w="2880"/>
          </w:tcPr>
          <w:p>
            <w:r>
              <w:t>[Open](https://amazon-my.sharepoint.com/personal/prichwil_amazon_com/Documents/Kiro-Drive/ps-testing-dashboard.xlsx?web=1)</w:t>
            </w:r>
          </w:p>
        </w:tc>
      </w:tr>
      <w:tr>
        <w:tc>
          <w:tcPr>
            <w:tcW w:type="dxa" w:w="2880"/>
          </w:tcPr>
          <w:p>
            <w:r>
              <w:t>command-center.xlsx</w:t>
            </w:r>
          </w:p>
        </w:tc>
        <w:tc>
          <w:tcPr>
            <w:tcW w:type="dxa" w:w="2880"/>
          </w:tcPr>
          <w:p>
            <w:r>
              <w:t>Operational command center — tasks, status, owners</w:t>
            </w:r>
          </w:p>
        </w:tc>
        <w:tc>
          <w:tcPr>
            <w:tcW w:type="dxa" w:w="2880"/>
          </w:tcPr>
          <w:p>
            <w:r>
              <w:t>[Open](https://amazon-my.sharepoint.com/personal/prichwil_amazon_com/Documents/Kiro-Drive/command-center.xlsx?web=1)</w:t>
            </w:r>
          </w:p>
        </w:tc>
      </w:tr>
    </w:tbl>
    <w:p>
      <w:pPr>
        <w:pStyle w:val="Heading3"/>
      </w:pPr>
      <w:r>
        <w:t>Artifacts — MX Callouts &amp; Analysis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Period</w:t>
            </w:r>
          </w:p>
        </w:tc>
        <w:tc>
          <w:tcPr>
            <w:tcW w:type="dxa" w:w="2880"/>
          </w:tcPr>
          <w:p>
            <w:r>
              <w:t>Link</w:t>
            </w:r>
          </w:p>
        </w:tc>
      </w:tr>
      <w:tr>
        <w:tc>
          <w:tcPr>
            <w:tcW w:type="dxa" w:w="2880"/>
          </w:tcPr>
          <w:p>
            <w:r>
              <w:t>mx-2026-w14.docx</w:t>
            </w:r>
          </w:p>
        </w:tc>
        <w:tc>
          <w:tcPr>
            <w:tcW w:type="dxa" w:w="2880"/>
          </w:tcPr>
          <w:p>
            <w:r>
              <w:t>W14 callout</w:t>
            </w:r>
          </w:p>
        </w:tc>
        <w:tc>
          <w:tcPr>
            <w:tcW w:type="dxa" w:w="2880"/>
          </w:tcPr>
          <w:p>
            <w:r>
              <w:t>[Open](https://amazon-my.sharepoint.com/personal/prichwil_amazon_com/Documents/Artifacts/wiki-sync/mx/mx-2026-w14.docx?web=1)</w:t>
            </w:r>
          </w:p>
        </w:tc>
      </w:tr>
      <w:tr>
        <w:tc>
          <w:tcPr>
            <w:tcW w:type="dxa" w:w="2880"/>
          </w:tcPr>
          <w:p>
            <w:r>
              <w:t>mx-2026-w13.docx</w:t>
            </w:r>
          </w:p>
        </w:tc>
        <w:tc>
          <w:tcPr>
            <w:tcW w:type="dxa" w:w="2880"/>
          </w:tcPr>
          <w:p>
            <w:r>
              <w:t>W13 callout</w:t>
            </w:r>
          </w:p>
        </w:tc>
        <w:tc>
          <w:tcPr>
            <w:tcW w:type="dxa" w:w="2880"/>
          </w:tcPr>
          <w:p>
            <w:r>
              <w:t>[Open](https://amazon-my.sharepoint.com/personal/prichwil_amazon_com/Documents/Artifacts/wiki-sync/mx/mx-2026-w13.docx?web=1)</w:t>
            </w:r>
          </w:p>
        </w:tc>
      </w:tr>
      <w:tr>
        <w:tc>
          <w:tcPr>
            <w:tcW w:type="dxa" w:w="2880"/>
          </w:tcPr>
          <w:p>
            <w:r>
              <w:t>mx-2026-w12.docx</w:t>
            </w:r>
          </w:p>
        </w:tc>
        <w:tc>
          <w:tcPr>
            <w:tcW w:type="dxa" w:w="2880"/>
          </w:tcPr>
          <w:p>
            <w:r>
              <w:t>W12 callout</w:t>
            </w:r>
          </w:p>
        </w:tc>
        <w:tc>
          <w:tcPr>
            <w:tcW w:type="dxa" w:w="2880"/>
          </w:tcPr>
          <w:p>
            <w:r>
              <w:t>[Open](https://amazon-my.sharepoint.com/personal/prichwil_amazon_com/Documents/Artifacts/wiki-sync/mx/mx-2026-w12.docx?web=1)</w:t>
            </w:r>
          </w:p>
        </w:tc>
      </w:tr>
      <w:tr>
        <w:tc>
          <w:tcPr>
            <w:tcW w:type="dxa" w:w="2880"/>
          </w:tcPr>
          <w:p>
            <w:r>
              <w:t>mx-2026-w11.docx</w:t>
            </w:r>
          </w:p>
        </w:tc>
        <w:tc>
          <w:tcPr>
            <w:tcW w:type="dxa" w:w="2880"/>
          </w:tcPr>
          <w:p>
            <w:r>
              <w:t>W11 callout</w:t>
            </w:r>
          </w:p>
        </w:tc>
        <w:tc>
          <w:tcPr>
            <w:tcW w:type="dxa" w:w="2880"/>
          </w:tcPr>
          <w:p>
            <w:r>
              <w:t>[Open](https://amazon-my.sharepoint.com/personal/prichwil_amazon_com/Documents/Artifacts/wiki-sync/mx/mx-2026-w11.docx?web=1)</w:t>
            </w:r>
          </w:p>
        </w:tc>
      </w:tr>
      <w:tr>
        <w:tc>
          <w:tcPr>
            <w:tcW w:type="dxa" w:w="2880"/>
          </w:tcPr>
          <w:p>
            <w:r>
              <w:t>mx-analysis-2026-w13.docx</w:t>
            </w:r>
          </w:p>
        </w:tc>
        <w:tc>
          <w:tcPr>
            <w:tcW w:type="dxa" w:w="2880"/>
          </w:tcPr>
          <w:p>
            <w:r>
              <w:t>W13 deep analysis</w:t>
            </w:r>
          </w:p>
        </w:tc>
        <w:tc>
          <w:tcPr>
            <w:tcW w:type="dxa" w:w="2880"/>
          </w:tcPr>
          <w:p>
            <w:r>
              <w:t>[Open](https://amazon-my.sharepoint.com/personal/prichwil_amazon_com/Documents/Artifacts/wiki-sync/mx/mx-analysis-2026-w13.docx?web=1)</w:t>
            </w:r>
          </w:p>
        </w:tc>
      </w:tr>
      <w:tr>
        <w:tc>
          <w:tcPr>
            <w:tcW w:type="dxa" w:w="2880"/>
          </w:tcPr>
          <w:p>
            <w:r>
              <w:t>mx-analysis-2026-w12.docx</w:t>
            </w:r>
          </w:p>
        </w:tc>
        <w:tc>
          <w:tcPr>
            <w:tcW w:type="dxa" w:w="2880"/>
          </w:tcPr>
          <w:p>
            <w:r>
              <w:t>W12 deep analysis</w:t>
            </w:r>
          </w:p>
        </w:tc>
        <w:tc>
          <w:tcPr>
            <w:tcW w:type="dxa" w:w="2880"/>
          </w:tcPr>
          <w:p>
            <w:r>
              <w:t>[Open](https://amazon-my.sharepoint.com/personal/prichwil_amazon_com/Documents/Artifacts/wiki-sync/mx/mx-analysis-2026-w12.docx?web=1)</w:t>
            </w:r>
          </w:p>
        </w:tc>
      </w:tr>
      <w:tr>
        <w:tc>
          <w:tcPr>
            <w:tcW w:type="dxa" w:w="2880"/>
          </w:tcPr>
          <w:p>
            <w:r>
              <w:t>mx-data-brief-2026-w14.docx</w:t>
            </w:r>
          </w:p>
        </w:tc>
        <w:tc>
          <w:tcPr>
            <w:tcW w:type="dxa" w:w="2880"/>
          </w:tcPr>
          <w:p>
            <w:r>
              <w:t>W14 data brief</w:t>
            </w:r>
          </w:p>
        </w:tc>
        <w:tc>
          <w:tcPr>
            <w:tcW w:type="dxa" w:w="2880"/>
          </w:tcPr>
          <w:p>
            <w:r>
              <w:t>[Open](https://amazon-my.sharepoint.com/personal/prichwil_amazon_com/Documents/Artifacts/wiki-sync/mx/mx-data-brief-2026-w14.docx?web=1)</w:t>
            </w:r>
          </w:p>
        </w:tc>
      </w:tr>
      <w:tr>
        <w:tc>
          <w:tcPr>
            <w:tcW w:type="dxa" w:w="2880"/>
          </w:tcPr>
          <w:p>
            <w:r>
              <w:t>mx-data-brief-2026-w13.docx</w:t>
            </w:r>
          </w:p>
        </w:tc>
        <w:tc>
          <w:tcPr>
            <w:tcW w:type="dxa" w:w="2880"/>
          </w:tcPr>
          <w:p>
            <w:r>
              <w:t>W13 data brief</w:t>
            </w:r>
          </w:p>
        </w:tc>
        <w:tc>
          <w:tcPr>
            <w:tcW w:type="dxa" w:w="2880"/>
          </w:tcPr>
          <w:p>
            <w:r>
              <w:t>[Open](https://amazon-my.sharepoint.com/personal/prichwil_amazon_com/Documents/Artifacts/wiki-sync/mx/mx-data-brief-2026-w13.docx?web=1)</w:t>
            </w:r>
          </w:p>
        </w:tc>
      </w:tr>
      <w:tr>
        <w:tc>
          <w:tcPr>
            <w:tcW w:type="dxa" w:w="2880"/>
          </w:tcPr>
          <w:p>
            <w:r>
              <w:t>mx-data-brief-2026-w12.docx</w:t>
            </w:r>
          </w:p>
        </w:tc>
        <w:tc>
          <w:tcPr>
            <w:tcW w:type="dxa" w:w="2880"/>
          </w:tcPr>
          <w:p>
            <w:r>
              <w:t>W12 data brief</w:t>
            </w:r>
          </w:p>
        </w:tc>
        <w:tc>
          <w:tcPr>
            <w:tcW w:type="dxa" w:w="2880"/>
          </w:tcPr>
          <w:p>
            <w:r>
              <w:t>[Open](https://amazon-my.sharepoint.com/personal/prichwil_amazon_com/Documents/Artifacts/wiki-sync/mx/mx-data-brief-2026-w12.docx?web=1)</w:t>
            </w:r>
          </w:p>
        </w:tc>
      </w:tr>
      <w:tr>
        <w:tc>
          <w:tcPr>
            <w:tcW w:type="dxa" w:w="2880"/>
          </w:tcPr>
          <w:p>
            <w:r>
              <w:t>mx-change-log.docx</w:t>
            </w:r>
          </w:p>
        </w:tc>
        <w:tc>
          <w:tcPr>
            <w:tcW w:type="dxa" w:w="2880"/>
          </w:tcPr>
          <w:p>
            <w:r>
              <w:t>2026 YTD change log</w:t>
            </w:r>
          </w:p>
        </w:tc>
        <w:tc>
          <w:tcPr>
            <w:tcW w:type="dxa" w:w="2880"/>
          </w:tcPr>
          <w:p>
            <w:r>
              <w:t>[Open](https://amazon-my.sharepoint.com/personal/prichwil_amazon_com/Documents/Artifacts/wiki-sync/mx/mx-change-log.docx?web=1)</w:t>
            </w:r>
          </w:p>
        </w:tc>
      </w:tr>
      <w:tr>
        <w:tc>
          <w:tcPr>
            <w:tcW w:type="dxa" w:w="2880"/>
          </w:tcPr>
          <w:p>
            <w:r>
              <w:t>mx-context.docx</w:t>
            </w:r>
          </w:p>
        </w:tc>
        <w:tc>
          <w:tcPr>
            <w:tcW w:type="dxa" w:w="2880"/>
          </w:tcPr>
          <w:p>
            <w:r>
              <w:t>MX market context doc</w:t>
            </w:r>
          </w:p>
        </w:tc>
        <w:tc>
          <w:tcPr>
            <w:tcW w:type="dxa" w:w="2880"/>
          </w:tcPr>
          <w:p>
            <w:r>
              <w:t>[Open](https://amazon-my.sharepoint.com/personal/prichwil_amazon_com/Documents/Artifacts/wiki-sync/mx/mx-context.docx?web=1)</w:t>
            </w:r>
          </w:p>
        </w:tc>
      </w:tr>
      <w:tr>
        <w:tc>
          <w:tcPr>
            <w:tcW w:type="dxa" w:w="2880"/>
          </w:tcPr>
          <w:p>
            <w:r>
              <w:t>mx-projections.docx</w:t>
            </w:r>
          </w:p>
        </w:tc>
        <w:tc>
          <w:tcPr>
            <w:tcW w:type="dxa" w:w="2880"/>
          </w:tcPr>
          <w:p>
            <w:r>
              <w:t>Monthly projections tracker</w:t>
            </w:r>
          </w:p>
        </w:tc>
        <w:tc>
          <w:tcPr>
            <w:tcW w:type="dxa" w:w="2880"/>
          </w:tcPr>
          <w:p>
            <w:r>
              <w:t>[Open](https://amazon-my.sharepoint.com/personal/prichwil_amazon_com/Documents/Artifacts/wiki-sync/mx/mx-projections.docx?web=1)</w:t>
            </w:r>
          </w:p>
        </w:tc>
      </w:tr>
      <w:tr>
        <w:tc>
          <w:tcPr>
            <w:tcW w:type="dxa" w:w="2880"/>
          </w:tcPr>
          <w:p>
            <w:r>
              <w:t>mx-fy26-projection.docx</w:t>
            </w:r>
          </w:p>
        </w:tc>
        <w:tc>
          <w:tcPr>
            <w:tcW w:type="dxa" w:w="2880"/>
          </w:tcPr>
          <w:p>
            <w:r>
              <w:t>FY26 annual projection (2 scenarios)</w:t>
            </w:r>
          </w:p>
        </w:tc>
        <w:tc>
          <w:tcPr>
            <w:tcW w:type="dxa" w:w="2880"/>
          </w:tcPr>
          <w:p>
            <w:r>
              <w:t>[Open](https://amazon-my.sharepoint.com/personal/prichwil_amazon_com/Documents/Artifacts/wiki-sync/mx/mx-fy26-projection.docx?web=1)</w:t>
            </w:r>
          </w:p>
        </w:tc>
      </w:tr>
    </w:tbl>
    <w:p>
      <w:pPr>
        <w:pStyle w:val="Heading3"/>
      </w:pPr>
      <w:r>
        <w:t>Artifacts — WW / Cross-Market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ww-review-2026-w13.docx</w:t>
            </w:r>
          </w:p>
        </w:tc>
        <w:tc>
          <w:tcPr>
            <w:tcW w:type="dxa" w:w="2880"/>
          </w:tcPr>
          <w:p>
            <w:r>
              <w:t>WW weekly review (includes MX)</w:t>
            </w:r>
          </w:p>
        </w:tc>
        <w:tc>
          <w:tcPr>
            <w:tcW w:type="dxa" w:w="2880"/>
          </w:tcPr>
          <w:p>
            <w:r>
              <w:t>[Open](https://amazon-my.sharepoint.com/personal/prichwil_amazon_com/Documents/Artifacts/wiki-sync/ww/ww-review-2026-w13.docx?web=1)</w:t>
            </w:r>
          </w:p>
        </w:tc>
      </w:tr>
      <w:tr>
        <w:tc>
          <w:tcPr>
            <w:tcW w:type="dxa" w:w="2880"/>
          </w:tcPr>
          <w:p>
            <w:r>
              <w:t>ww-summary-2026-w14.docx</w:t>
            </w:r>
          </w:p>
        </w:tc>
        <w:tc>
          <w:tcPr>
            <w:tcW w:type="dxa" w:w="2880"/>
          </w:tcPr>
          <w:p>
            <w:r>
              <w:t>WW summary W14</w:t>
            </w:r>
          </w:p>
        </w:tc>
        <w:tc>
          <w:tcPr>
            <w:tcW w:type="dxa" w:w="2880"/>
          </w:tcPr>
          <w:p>
            <w:r>
              <w:t>[Open](https://amazon-my.sharepoint.com/personal/prichwil_amazon_com/Documents/Artifacts/wiki-sync/ww/ww-summary-2026-w14.docx?web=1)</w:t>
            </w:r>
          </w:p>
        </w:tc>
      </w:tr>
      <w:tr>
        <w:tc>
          <w:tcPr>
            <w:tcW w:type="dxa" w:w="2880"/>
          </w:tcPr>
          <w:p>
            <w:r>
              <w:t>wbr-w14-callouts.docx</w:t>
            </w:r>
          </w:p>
        </w:tc>
        <w:tc>
          <w:tcPr>
            <w:tcW w:type="dxa" w:w="2880"/>
          </w:tcPr>
          <w:p>
            <w:r>
              <w:t>WBR callouts all markets W14</w:t>
            </w:r>
          </w:p>
        </w:tc>
        <w:tc>
          <w:tcPr>
            <w:tcW w:type="dxa" w:w="2880"/>
          </w:tcPr>
          <w:p>
            <w:r>
              <w:t>[Open](https://amazon-my.sharepoint.com/personal/prichwil_amazon_com/Documents/Artifacts/wiki-sync/ww/wbr-w14-callouts.docx?web=1)</w:t>
            </w:r>
          </w:p>
        </w:tc>
      </w:tr>
      <w:tr>
        <w:tc>
          <w:tcPr>
            <w:tcW w:type="dxa" w:w="2880"/>
          </w:tcPr>
          <w:p>
            <w:r>
              <w:t>projections-ww.docx</w:t>
            </w:r>
          </w:p>
        </w:tc>
        <w:tc>
          <w:tcPr>
            <w:tcW w:type="dxa" w:w="2880"/>
          </w:tcPr>
          <w:p>
            <w:r>
              <w:t>WW projections</w:t>
            </w:r>
          </w:p>
        </w:tc>
        <w:tc>
          <w:tcPr>
            <w:tcW w:type="dxa" w:w="2880"/>
          </w:tcPr>
          <w:p>
            <w:r>
              <w:t>[Open](https://amazon-my.sharepoint.com/personal/prichwil_amazon_com/Documents/Artifacts/wiki-sync/ww/projections-ww.docx?web=1)</w:t>
            </w:r>
          </w:p>
        </w:tc>
      </w:tr>
      <w:tr>
        <w:tc>
          <w:tcPr>
            <w:tcW w:type="dxa" w:w="2880"/>
          </w:tcPr>
          <w:p>
            <w:r>
              <w:t>testing-approach-kate-v5.docx</w:t>
            </w:r>
          </w:p>
        </w:tc>
        <w:tc>
          <w:tcPr>
            <w:tcW w:type="dxa" w:w="2880"/>
          </w:tcPr>
          <w:p>
            <w:r>
              <w:t>Testing Approach doc (Kate review)</w:t>
            </w:r>
          </w:p>
        </w:tc>
        <w:tc>
          <w:tcPr>
            <w:tcW w:type="dxa" w:w="2880"/>
          </w:tcPr>
          <w:p>
            <w:r>
              <w:t>[Open](https://amazon-my.sharepoint.com/personal/prichwil_amazon_com/Documents/Artifacts/wiki-sync/testing/testing-approach-kate-v5.docx?web=1)</w:t>
            </w:r>
          </w:p>
        </w:tc>
      </w:tr>
      <w:tr>
        <w:tc>
          <w:tcPr>
            <w:tcW w:type="dxa" w:w="2880"/>
          </w:tcPr>
          <w:p>
            <w:r>
              <w:t>oci-rollout-playbook.docx</w:t>
            </w:r>
          </w:p>
        </w:tc>
        <w:tc>
          <w:tcPr>
            <w:tcW w:type="dxa" w:w="2880"/>
          </w:tcPr>
          <w:p>
            <w:r>
              <w:t>OCI rollout playbook (MX not started)</w:t>
            </w:r>
          </w:p>
        </w:tc>
        <w:tc>
          <w:tcPr>
            <w:tcW w:type="dxa" w:w="2880"/>
          </w:tcPr>
          <w:p>
            <w:r>
              <w:t>[Open](https://amazon-my.sharepoint.com/personal/prichwil_amazon_com/Documents/Artifacts/wiki-sync/testing/oci-rollout-playbook.docx?web=1)</w:t>
            </w:r>
          </w:p>
        </w:tc>
      </w:tr>
    </w:tbl>
    <w:p>
      <w:pPr>
        <w:pStyle w:val="Heading3"/>
      </w:pPr>
      <w:r>
        <w:t>Quip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AB MX Paid Search Sync</w:t>
            </w:r>
          </w:p>
        </w:tc>
        <w:tc>
          <w:tcPr>
            <w:tcW w:type="dxa" w:w="2880"/>
          </w:tcPr>
          <w:p>
            <w:r>
              <w:t>Weekly performance tracker since WK11 2024</w:t>
            </w:r>
          </w:p>
        </w:tc>
        <w:tc>
          <w:tcPr>
            <w:tcW w:type="dxa" w:w="2880"/>
          </w:tcPr>
          <w:p>
            <w:r>
              <w:t>[Open](https://quip-amazon.com/K9OYA9mXm7DU)</w:t>
            </w:r>
          </w:p>
        </w:tc>
      </w:tr>
      <w:tr>
        <w:tc>
          <w:tcPr>
            <w:tcW w:type="dxa" w:w="2880"/>
          </w:tcPr>
          <w:p>
            <w:r>
              <w:t>MX Keyword Cleanup Framework</w:t>
            </w:r>
          </w:p>
        </w:tc>
        <w:tc>
          <w:tcPr>
            <w:tcW w:type="dxa" w:w="2880"/>
          </w:tcPr>
          <w:p>
            <w:r>
              <w:t>Audit thresholds and cleanup rules</w:t>
            </w:r>
          </w:p>
        </w:tc>
        <w:tc>
          <w:tcPr>
            <w:tcW w:type="dxa" w:w="2880"/>
          </w:tcPr>
          <w:p>
            <w:r>
              <w:t>[Open](https://quip-amazon.com/EZZ9AAR7EEz)</w:t>
            </w:r>
          </w:p>
        </w:tc>
      </w:tr>
      <w:tr>
        <w:tc>
          <w:tcPr>
            <w:tcW w:type="dxa" w:w="2880"/>
          </w:tcPr>
          <w:p>
            <w:r>
              <w:t>MX Transition</w:t>
            </w:r>
          </w:p>
        </w:tc>
        <w:tc>
          <w:tcPr>
            <w:tcW w:type="dxa" w:w="2880"/>
          </w:tcPr>
          <w:p>
            <w:r>
              <w:t>POCs, campaign structure, reporting conventions</w:t>
            </w:r>
          </w:p>
        </w:tc>
        <w:tc>
          <w:tcPr>
            <w:tcW w:type="dxa" w:w="2880"/>
          </w:tcPr>
          <w:p>
            <w:r>
              <w:t>[Open](https://quip-amazon.com/GCX9AAbP5Rh)</w:t>
            </w:r>
          </w:p>
        </w:tc>
      </w:tr>
      <w:tr>
        <w:tc>
          <w:tcPr>
            <w:tcW w:type="dxa" w:w="2880"/>
          </w:tcPr>
          <w:p>
            <w:r>
              <w:t>Pre-WBR Callouts</w:t>
            </w:r>
          </w:p>
        </w:tc>
        <w:tc>
          <w:tcPr>
            <w:tcW w:type="dxa" w:w="2880"/>
          </w:tcPr>
          <w:p>
            <w:r>
              <w:t>WBR callout working doc</w:t>
            </w:r>
          </w:p>
        </w:tc>
        <w:tc>
          <w:tcPr>
            <w:tcW w:type="dxa" w:w="2880"/>
          </w:tcPr>
          <w:p>
            <w:r>
              <w:t>[Open](https://quip-amazon.com/MMgBAzDrlVou)</w:t>
            </w:r>
          </w:p>
        </w:tc>
      </w:tr>
    </w:tbl>
    <w:p>
      <w:pPr>
        <w:pStyle w:val="Heading3"/>
      </w:pPr>
      <w:r>
        <w:t>Kiro-Drive — System State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rw-tracker.md</w:t>
            </w:r>
          </w:p>
        </w:tc>
        <w:tc>
          <w:tcPr>
            <w:tcW w:type="dxa" w:w="2880"/>
          </w:tcPr>
          <w:p>
            <w:r>
              <w:t>Weekly scorecard, 30-day challenge</w:t>
            </w:r>
          </w:p>
        </w:tc>
        <w:tc>
          <w:tcPr>
            <w:tcW w:type="dxa" w:w="2880"/>
          </w:tcPr>
          <w:p>
            <w:r>
              <w:t>[Open](https://amazon-my.sharepoint.com/personal/prichwil_amazon_com/Documents/Kiro-Drive/system-state/rw-tracker.md?web=1)</w:t>
            </w:r>
          </w:p>
        </w:tc>
      </w:tr>
      <w:tr>
        <w:tc>
          <w:tcPr>
            <w:tcW w:type="dxa" w:w="2880"/>
          </w:tcPr>
          <w:p>
            <w:r>
              <w:t>body-snapshot-2026-04-12.md</w:t>
            </w:r>
          </w:p>
        </w:tc>
        <w:tc>
          <w:tcPr>
            <w:tcW w:type="dxa" w:w="2880"/>
          </w:tcPr>
          <w:p>
            <w:r>
              <w:t>Portable body snapshot</w:t>
            </w:r>
          </w:p>
        </w:tc>
        <w:tc>
          <w:tcPr>
            <w:tcW w:type="dxa" w:w="2880"/>
          </w:tcPr>
          <w:p>
            <w:r>
              <w:t>[Open](https://amazon-my.sharepoint.com/personal/prichwil_amazon_com/Documents/Kiro-Drive/portable-body/body-snapshot-2026-04-12.md?web=1)</w:t>
            </w:r>
          </w:p>
        </w:tc>
      </w:tr>
    </w:tbl>
    <w:p>
      <w:r>
        <w:t>---</w:t>
      </w:r>
    </w:p>
    <w:p>
      <w:r>
        <w:t>*This document is designed for daily automated refresh via the Kiro agent swarm. Sections marked with placeholder tags (e.g., {{State_Of_Business_Paragraph_1}})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*Template location: OneDrive Kiro-Drive/state-files/mx-paid-search-state.md*</w:t>
      </w:r>
    </w:p>
    <w:p>
      <w:r>
        <w:t>*DOCX template (future): OneDrive Kiro-Drive/state-files/templates/mx-paid-search-template.docx*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