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u-paid-search-handoff-guide"/>
    <w:p>
      <w:pPr>
        <w:pStyle w:val="Heading1"/>
      </w:pPr>
      <w:r>
        <w:t xml:space="preserve">AU Paid Search — Handoff Guide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Everything the AU team needs to independently manage the AU Paid Search program after the PS team transitions out.</w:t>
      </w:r>
      <w:r>
        <w:t xml:space="preserve"> </w:t>
      </w:r>
      <w:r>
        <w:rPr>
          <w:b/>
          <w:bCs/>
        </w:rPr>
        <w:t xml:space="preserve">Transition date:</w:t>
      </w:r>
      <w:r>
        <w:t xml:space="preserve"> </w:t>
      </w:r>
      <w:r>
        <w:t xml:space="preserve">Week of April 13, 2026</w:t>
      </w:r>
      <w:r>
        <w:t xml:space="preserve"> </w:t>
      </w:r>
      <w:r>
        <w:rPr>
          <w:b/>
          <w:bCs/>
        </w:rPr>
        <w:t xml:space="preserve">Hand-off call:</w:t>
      </w:r>
      <w:r>
        <w:t xml:space="preserve"> </w:t>
      </w:r>
      <w:r>
        <w:t xml:space="preserve">April 14, 2026 (may reschedule pending AU availability)</w:t>
      </w:r>
      <w:r>
        <w:t xml:space="preserve"> </w:t>
      </w:r>
      <w:r>
        <w:rPr>
          <w:b/>
          <w:bCs/>
        </w:rPr>
        <w:t xml:space="preserve">Post-transition support:</w:t>
      </w:r>
      <w:r>
        <w:t xml:space="preserve"> </w:t>
      </w:r>
      <w:r>
        <w:t xml:space="preserve">Ad hoc calls between Lena/Brandon as needed. PS team will email AU team before implementing any WW initiatives that affect AU.</w:t>
      </w:r>
    </w:p>
    <w:p>
      <w:r>
        <w:pict>
          <v:rect style="width:0;height:1.5pt" o:hralign="center" o:hrstd="t" o:hr="t"/>
        </w:pict>
      </w:r>
    </w:p>
    <w:bookmarkStart w:id="9" w:name="program-overview"/>
    <w:p>
      <w:pPr>
        <w:pStyle w:val="Heading2"/>
      </w:pPr>
      <w:r>
        <w:t xml:space="preserve">1. Program Overview</w:t>
      </w:r>
    </w:p>
    <w:p>
      <w:pPr>
        <w:pStyle w:val="FirstParagraph"/>
      </w:pPr>
      <w:r>
        <w:rPr>
          <w:b/>
          <w:bCs/>
        </w:rPr>
        <w:t xml:space="preserve">What this is:</w:t>
      </w:r>
      <w:r>
        <w:t xml:space="preserve"> </w:t>
      </w:r>
      <w:r>
        <w:t xml:space="preserve">Amazon Business Australia runs paid search campaigns on Google Ads to drive SSR (Self-Service Registration) signups. The PS (Paid Search) team has managed this since AU launch in June 2025.</w:t>
      </w:r>
    </w:p>
    <w:p>
      <w:pPr>
        <w:pStyle w:val="BodyText"/>
      </w:pPr>
      <w:r>
        <w:rPr>
          <w:b/>
          <w:bCs/>
        </w:rPr>
        <w:t xml:space="preserve">Account structure:</w:t>
      </w:r>
      <w:r>
        <w:t xml:space="preserve"> </w:t>
      </w:r>
      <w:r>
        <w:t xml:space="preserve">- Google Ads account sits under the DSAP parent MCC</w:t>
      </w:r>
      <w:r>
        <w:t xml:space="preserve"> </w:t>
      </w:r>
      <w:r>
        <w:t xml:space="preserve">- Two campaign types: Brand (exact/phrase match on</w:t>
      </w:r>
      <w:r>
        <w:t xml:space="preserve"> </w:t>
      </w:r>
      <w:r>
        <w:t xml:space="preserve">“amazon business”</w:t>
      </w:r>
      <w:r>
        <w:t xml:space="preserve"> </w:t>
      </w:r>
      <w:r>
        <w:t xml:space="preserve">terms) and Non-Brand (product/category keywords)</w:t>
      </w:r>
      <w:r>
        <w:t xml:space="preserve"> </w:t>
      </w:r>
      <w:r>
        <w:t xml:space="preserve">- Adobe Cloud (AMO) is the bid management platform — bid strategies are set there, not in Google Ads directly</w:t>
      </w:r>
      <w:r>
        <w:t xml:space="preserve"> </w:t>
      </w:r>
      <w:r>
        <w:t xml:space="preserve">- Conversion tracking flows through Google Ads native tracking (no OCI yet — see Section 8)</w:t>
      </w:r>
    </w:p>
    <w:p>
      <w:pPr>
        <w:pStyle w:val="BodyText"/>
      </w:pPr>
      <w:r>
        <w:rPr>
          <w:b/>
          <w:bCs/>
        </w:rPr>
        <w:t xml:space="preserve">Key contacts post-transition:</w:t>
      </w:r>
      <w:r>
        <w:t xml:space="preserve"> </w:t>
      </w:r>
      <w:r>
        <w:t xml:space="preserve">- Brandon Munday (L7) — PS team lead, ad hoc escalation</w:t>
      </w:r>
      <w:r>
        <w:t xml:space="preserve"> </w:t>
      </w:r>
      <w:r>
        <w:t xml:space="preserve">- Richard Williams — PS team, available for questions during transition period</w:t>
      </w:r>
      <w:r>
        <w:t xml:space="preserve"> </w:t>
      </w:r>
      <w:r>
        <w:t xml:space="preserve">- Alexis Eck (L6) — collaborative execution partner, familiar with AU campaigns</w:t>
      </w:r>
      <w:r>
        <w:t xml:space="preserve"> </w:t>
      </w:r>
      <w:r>
        <w:t xml:space="preserve">- ABMA team — for data/attribution issues (submit SIM tickets)</w:t>
      </w:r>
    </w:p>
    <w:p>
      <w:r>
        <w:pict>
          <v:rect style="width:0;height:1.5pt" o:hralign="center" o:hrstd="t" o:hr="t"/>
        </w:pict>
      </w:r>
    </w:p>
    <w:bookmarkEnd w:id="9"/>
    <w:bookmarkStart w:id="10" w:name="Xa3235292102c00f5239233f9a4c7b46fc119141"/>
    <w:p>
      <w:pPr>
        <w:pStyle w:val="Heading2"/>
      </w:pPr>
      <w:r>
        <w:t xml:space="preserve">2. Current Performance Snapshot (as of W15, Apr 5–11,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W15 Actual</w:t>
            </w:r>
          </w:p>
        </w:tc>
        <w:tc>
          <w:tcPr/>
          <w:p>
            <w:pPr>
              <w:pStyle w:val="Compact"/>
            </w:pPr>
            <w:r>
              <w:t xml:space="preserve">WoW Change</w:t>
            </w:r>
          </w:p>
        </w:tc>
        <w:tc>
          <w:tcPr/>
          <w:p>
            <w:pPr>
              <w:pStyle w:val="Compact"/>
            </w:pPr>
            <w:r>
              <w:t xml:space="preserve">April Projection</w:t>
            </w:r>
          </w:p>
        </w:tc>
        <w:tc>
          <w:tcPr/>
          <w:p>
            <w:pPr>
              <w:pStyle w:val="Compact"/>
            </w:pPr>
            <w:r>
              <w:t xml:space="preserve">OP2 Monthly Target (Apr)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Registrations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-2%</w:t>
            </w:r>
          </w:p>
        </w:tc>
        <w:tc>
          <w:tcPr/>
          <w:p>
            <w:pPr>
              <w:pStyle w:val="Compact"/>
            </w:pPr>
            <w:r>
              <w:t xml:space="preserve">886</w:t>
            </w:r>
          </w:p>
        </w:tc>
        <w:tc>
          <w:tcPr/>
          <w:p>
            <w:pPr>
              <w:pStyle w:val="Compact"/>
            </w:pPr>
            <w:r>
              <w:t xml:space="preserve">1,071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 (Net USD)</w:t>
            </w:r>
          </w:p>
        </w:tc>
        <w:tc>
          <w:tcPr/>
          <w:p>
            <w:pPr>
              <w:pStyle w:val="Compact"/>
            </w:pPr>
            <w:r>
              <w:t xml:space="preserve">~$26K</w:t>
            </w:r>
          </w:p>
        </w:tc>
        <w:tc>
          <w:tcPr/>
          <w:p>
            <w:pPr>
              <w:pStyle w:val="Compact"/>
            </w:pPr>
            <w:r>
              <w:t xml:space="preserve">+17%</w:t>
            </w:r>
          </w:p>
        </w:tc>
        <w:tc>
          <w:tcPr/>
          <w:p>
            <w:pPr>
              <w:pStyle w:val="Compact"/>
            </w:pPr>
            <w:r>
              <w:t xml:space="preserve">$108K</w:t>
            </w:r>
          </w:p>
        </w:tc>
        <w:tc>
          <w:tcPr/>
          <w:p>
            <w:pPr>
              <w:pStyle w:val="Compact"/>
            </w:pPr>
            <w:r>
              <w:t xml:space="preserve">$148K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Blended CPA</w:t>
            </w:r>
          </w:p>
        </w:tc>
        <w:tc>
          <w:tcPr/>
          <w:p>
            <w:pPr>
              <w:pStyle w:val="Compact"/>
            </w:pPr>
            <w:r>
              <w:t xml:space="preserve">$156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$122</w:t>
            </w:r>
          </w:p>
        </w:tc>
        <w:tc>
          <w:tcPr/>
          <w:p>
            <w:pPr>
              <w:pStyle w:val="Compact"/>
            </w:pPr>
            <w:r>
              <w:t xml:space="preserve">$138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What’s happening right now:</w:t>
      </w:r>
      <w:r>
        <w:t xml:space="preserve"> </w:t>
      </w:r>
      <w:r>
        <w:t xml:space="preserve">- We reverted landing pages from Polaris back to pre-Polaris versions in W15. The Polaris migration (completed mid-W13) caused a CVR collapse from ~4.0% to 2.8%. Expect CVR to recover to the 4.0% range over the next 1–2 weeks.</w:t>
      </w:r>
      <w:r>
        <w:t xml:space="preserve"> </w:t>
      </w:r>
      <w:r>
        <w:t xml:space="preserve">- Non-Brand is driving the upside: +22% regs WoW on +15% clicks and +5% CVR.</w:t>
      </w:r>
      <w:r>
        <w:t xml:space="preserve"> </w:t>
      </w:r>
      <w:r>
        <w:t xml:space="preserve">- Brand fell -21% regs on -10% clicks and -12% CVR — likely still recovering from the LP switch.</w:t>
      </w:r>
      <w:r>
        <w:t xml:space="preserve"> </w:t>
      </w:r>
      <w:r>
        <w:t xml:space="preserve">- NB CPC has been declining for 8+ weeks (down 29% from the W6 peak of ~$6.80 to $4.81 in W13). This is a positive efficiency signal.</w:t>
      </w:r>
    </w:p>
    <w:p>
      <w:pPr>
        <w:pStyle w:val="BodyText"/>
      </w:pPr>
      <w:r>
        <w:rPr>
          <w:b/>
          <w:bCs/>
        </w:rPr>
        <w:t xml:space="preserve">6-week registration decline context:</w:t>
      </w:r>
      <w:r>
        <w:t xml:space="preserve"> </w:t>
      </w:r>
      <w:r>
        <w:t xml:space="preserve">Regs peaked at 328 in W7 and fell to 166 in W15 (-49%). The primary driver was the Polaris URL migration CVR collapse, not a demand problem. With the revert, we expect recovery.</w:t>
      </w:r>
    </w:p>
    <w:p>
      <w:r>
        <w:pict>
          <v:rect style="width:0;height:1.5pt" o:hralign="center" o:hrstd="t" o:hr="t"/>
        </w:pict>
      </w:r>
    </w:p>
    <w:bookmarkEnd w:id="10"/>
    <w:bookmarkStart w:id="15" w:name="fy26-budget-targets-op2"/>
    <w:p>
      <w:pPr>
        <w:pStyle w:val="Heading2"/>
      </w:pPr>
      <w:r>
        <w:t xml:space="preserve">3. FY26 Budget &amp; Targets (OP2)</w:t>
      </w:r>
    </w:p>
    <w:bookmarkStart w:id="11" w:name="annual-summary"/>
    <w:p>
      <w:pPr>
        <w:pStyle w:val="Heading3"/>
      </w:pPr>
      <w:r>
        <w:t xml:space="preserve">Annual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FY25 Actual (Jun–Dec)</w:t>
            </w:r>
          </w:p>
        </w:tc>
        <w:tc>
          <w:tcPr/>
          <w:p>
            <w:pPr>
              <w:pStyle w:val="Compact"/>
            </w:pPr>
            <w:r>
              <w:t xml:space="preserve">FY26 OP2 Full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(Net USD)</w:t>
            </w:r>
          </w:p>
        </w:tc>
        <w:tc>
          <w:tcPr/>
          <w:p>
            <w:pPr>
              <w:pStyle w:val="Compact"/>
            </w:pPr>
            <w:r>
              <w:t xml:space="preserve">$1,139,602</w:t>
            </w:r>
          </w:p>
        </w:tc>
        <w:tc>
          <w:tcPr/>
          <w:p>
            <w:pPr>
              <w:pStyle w:val="Compact"/>
            </w:pPr>
            <w:r>
              <w:t xml:space="preserve">$1,801,927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Registrations</w:t>
            </w:r>
          </w:p>
        </w:tc>
        <w:tc>
          <w:tcPr/>
          <w:p>
            <w:pPr>
              <w:pStyle w:val="Compact"/>
            </w:pPr>
            <w:r>
              <w:t xml:space="preserve">8,763</w:t>
            </w:r>
          </w:p>
        </w:tc>
        <w:tc>
          <w:tcPr/>
          <w:p>
            <w:pPr>
              <w:pStyle w:val="Compact"/>
            </w:pPr>
            <w:r>
              <w:t xml:space="preserve">12,906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Blended CPA</w:t>
            </w:r>
          </w:p>
        </w:tc>
        <w:tc>
          <w:tcPr/>
          <w:p>
            <w:pPr>
              <w:pStyle w:val="Compact"/>
            </w:pPr>
            <w:r>
              <w:t xml:space="preserve">$158</w:t>
            </w:r>
          </w:p>
        </w:tc>
        <w:tc>
          <w:tcPr/>
          <w:p>
            <w:pPr>
              <w:pStyle w:val="Compact"/>
            </w:pPr>
            <w:r>
              <w:t xml:space="preserve">$140</w:t>
            </w:r>
          </w:p>
        </w:tc>
      </w:tr>
    </w:tbl>
    <w:bookmarkEnd w:id="11"/>
    <w:bookmarkStart w:id="12" w:name="monthly-op2-targets"/>
    <w:p>
      <w:pPr>
        <w:pStyle w:val="Heading3"/>
      </w:pPr>
      <w:r>
        <w:t xml:space="preserve">Monthly OP2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Gross USD</w:t>
            </w:r>
          </w:p>
        </w:tc>
        <w:tc>
          <w:tcPr/>
          <w:p>
            <w:pPr>
              <w:pStyle w:val="Compact"/>
            </w:pPr>
            <w:r>
              <w:t xml:space="preserve">Net USD (Platform Spend)</w:t>
            </w:r>
          </w:p>
        </w:tc>
        <w:tc>
          <w:tcPr/>
          <w:p>
            <w:pPr>
              <w:pStyle w:val="Compact"/>
            </w:pPr>
            <w:r>
              <w:t xml:space="preserve">Regs</w:t>
            </w:r>
          </w:p>
        </w:tc>
        <w:tc>
          <w:tcPr/>
          <w:p>
            <w:pPr>
              <w:pStyle w:val="Compact"/>
            </w:pPr>
            <w:r>
              <w:t xml:space="preserve">CPA (Net 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  <w:r>
              <w:t xml:space="preserve">$158,717</w:t>
            </w:r>
          </w:p>
        </w:tc>
        <w:tc>
          <w:tcPr/>
          <w:p>
            <w:pPr>
              <w:pStyle w:val="Compact"/>
            </w:pPr>
            <w:r>
              <w:t xml:space="preserve">$142,845</w:t>
            </w:r>
          </w:p>
        </w:tc>
        <w:tc>
          <w:tcPr/>
          <w:p>
            <w:pPr>
              <w:pStyle w:val="Compact"/>
            </w:pPr>
            <w:r>
              <w:t xml:space="preserve">1,140</w:t>
            </w:r>
          </w:p>
        </w:tc>
        <w:tc>
          <w:tcPr/>
          <w:p>
            <w:pPr>
              <w:pStyle w:val="Compact"/>
            </w:pPr>
            <w:r>
              <w:t xml:space="preserve">$125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</w:t>
            </w:r>
          </w:p>
        </w:tc>
        <w:tc>
          <w:tcPr/>
          <w:p>
            <w:pPr>
              <w:pStyle w:val="Compact"/>
            </w:pPr>
            <w:r>
              <w:t xml:space="preserve">$163,991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1,110</w:t>
            </w:r>
          </w:p>
        </w:tc>
        <w:tc>
          <w:tcPr/>
          <w:p>
            <w:pPr>
              <w:pStyle w:val="Compact"/>
            </w:pPr>
            <w:r>
              <w:t xml:space="preserve">$133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$163,991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1,082</w:t>
            </w:r>
          </w:p>
        </w:tc>
        <w:tc>
          <w:tcPr/>
          <w:p>
            <w:pPr>
              <w:pStyle w:val="Compact"/>
            </w:pPr>
            <w:r>
              <w:t xml:space="preserve">$136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</w:t>
            </w:r>
          </w:p>
        </w:tc>
        <w:tc>
          <w:tcPr/>
          <w:p>
            <w:pPr>
              <w:pStyle w:val="Compact"/>
            </w:pPr>
            <w:r>
              <w:t xml:space="preserve">$163,991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1,071</w:t>
            </w:r>
          </w:p>
        </w:tc>
        <w:tc>
          <w:tcPr/>
          <w:p>
            <w:pPr>
              <w:pStyle w:val="Compact"/>
            </w:pPr>
            <w:r>
              <w:t xml:space="preserve">$138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$163,991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1,189</w:t>
            </w:r>
          </w:p>
        </w:tc>
        <w:tc>
          <w:tcPr/>
          <w:p>
            <w:pPr>
              <w:pStyle w:val="Compact"/>
            </w:pPr>
            <w:r>
              <w:t xml:space="preserve">$124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</w:t>
            </w:r>
          </w:p>
        </w:tc>
        <w:tc>
          <w:tcPr/>
          <w:p>
            <w:pPr>
              <w:pStyle w:val="Compact"/>
            </w:pPr>
            <w:r>
              <w:t xml:space="preserve">$163,991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1,219</w:t>
            </w:r>
          </w:p>
        </w:tc>
        <w:tc>
          <w:tcPr/>
          <w:p>
            <w:pPr>
              <w:pStyle w:val="Compact"/>
            </w:pPr>
            <w:r>
              <w:t xml:space="preserve">$121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$191,793</w:t>
            </w:r>
          </w:p>
        </w:tc>
        <w:tc>
          <w:tcPr/>
          <w:p>
            <w:pPr>
              <w:pStyle w:val="Compact"/>
            </w:pPr>
            <w:r>
              <w:t xml:space="preserve">$172,614</w:t>
            </w:r>
          </w:p>
        </w:tc>
        <w:tc>
          <w:tcPr/>
          <w:p>
            <w:pPr>
              <w:pStyle w:val="Compact"/>
            </w:pPr>
            <w:r>
              <w:t xml:space="preserve">1,105</w:t>
            </w:r>
          </w:p>
        </w:tc>
        <w:tc>
          <w:tcPr/>
          <w:p>
            <w:pPr>
              <w:pStyle w:val="Compact"/>
            </w:pPr>
            <w:r>
              <w:t xml:space="preserve">$156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</w:t>
            </w:r>
          </w:p>
        </w:tc>
        <w:tc>
          <w:tcPr/>
          <w:p>
            <w:pPr>
              <w:pStyle w:val="Compact"/>
            </w:pPr>
            <w:r>
              <w:t xml:space="preserve">$207,209</w:t>
            </w:r>
          </w:p>
        </w:tc>
        <w:tc>
          <w:tcPr/>
          <w:p>
            <w:pPr>
              <w:pStyle w:val="Compact"/>
            </w:pPr>
            <w:r>
              <w:t xml:space="preserve">$186,488</w:t>
            </w:r>
          </w:p>
        </w:tc>
        <w:tc>
          <w:tcPr/>
          <w:p>
            <w:pPr>
              <w:pStyle w:val="Compact"/>
            </w:pPr>
            <w:r>
              <w:t xml:space="preserve">1,062</w:t>
            </w:r>
          </w:p>
        </w:tc>
        <w:tc>
          <w:tcPr/>
          <w:p>
            <w:pPr>
              <w:pStyle w:val="Compact"/>
            </w:pPr>
            <w:r>
              <w:t xml:space="preserve">$176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</w:t>
            </w:r>
          </w:p>
        </w:tc>
        <w:tc>
          <w:tcPr/>
          <w:p>
            <w:pPr>
              <w:pStyle w:val="Compact"/>
            </w:pPr>
            <w:r>
              <w:t xml:space="preserve">$163,991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1,071</w:t>
            </w:r>
          </w:p>
        </w:tc>
        <w:tc>
          <w:tcPr/>
          <w:p>
            <w:pPr>
              <w:pStyle w:val="Compact"/>
            </w:pPr>
            <w:r>
              <w:t xml:space="preserve">$138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</w:t>
            </w:r>
          </w:p>
        </w:tc>
        <w:tc>
          <w:tcPr/>
          <w:p>
            <w:pPr>
              <w:pStyle w:val="Compact"/>
            </w:pPr>
            <w:r>
              <w:t xml:space="preserve">$163,991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1,083</w:t>
            </w:r>
          </w:p>
        </w:tc>
        <w:tc>
          <w:tcPr/>
          <w:p>
            <w:pPr>
              <w:pStyle w:val="Compact"/>
            </w:pPr>
            <w:r>
              <w:t xml:space="preserve">$136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</w:t>
            </w:r>
          </w:p>
        </w:tc>
        <w:tc>
          <w:tcPr/>
          <w:p>
            <w:pPr>
              <w:pStyle w:val="Compact"/>
            </w:pPr>
            <w:r>
              <w:t xml:space="preserve">$163,991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1,006</w:t>
            </w:r>
          </w:p>
        </w:tc>
        <w:tc>
          <w:tcPr/>
          <w:p>
            <w:pPr>
              <w:pStyle w:val="Compact"/>
            </w:pPr>
            <w:r>
              <w:t xml:space="preserve">$147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$132,491</w:t>
            </w:r>
          </w:p>
        </w:tc>
        <w:tc>
          <w:tcPr/>
          <w:p>
            <w:pPr>
              <w:pStyle w:val="Compact"/>
            </w:pPr>
            <w:r>
              <w:t xml:space="preserve">$119,244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$155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$2,002,138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$1,801,927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12,906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$140</w:t>
            </w:r>
          </w:p>
        </w:tc>
      </w:tr>
    </w:tbl>
    <w:bookmarkEnd w:id="12"/>
    <w:bookmarkStart w:id="13" w:name="ytd-actuals-vs-op2"/>
    <w:p>
      <w:pPr>
        <w:pStyle w:val="Heading3"/>
      </w:pPr>
      <w:r>
        <w:t xml:space="preserve">YTD Actuals vs OP2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OP2 Spend</w:t>
            </w:r>
          </w:p>
        </w:tc>
        <w:tc>
          <w:tcPr/>
          <w:p>
            <w:pPr>
              <w:pStyle w:val="Compact"/>
            </w:pPr>
            <w:r>
              <w:t xml:space="preserve">Actual Spend</w:t>
            </w:r>
          </w:p>
        </w:tc>
        <w:tc>
          <w:tcPr/>
          <w:p>
            <w:pPr>
              <w:pStyle w:val="Compact"/>
            </w:pPr>
            <w:r>
              <w:t xml:space="preserve">OP2 Regs</w:t>
            </w:r>
          </w:p>
        </w:tc>
        <w:tc>
          <w:tcPr/>
          <w:p>
            <w:pPr>
              <w:pStyle w:val="Compact"/>
            </w:pPr>
            <w:r>
              <w:t xml:space="preserve">Actual Regs</w:t>
            </w:r>
          </w:p>
        </w:tc>
        <w:tc>
          <w:tcPr/>
          <w:p>
            <w:pPr>
              <w:pStyle w:val="Compact"/>
            </w:pPr>
            <w:r>
              <w:t xml:space="preserve">Actual CPA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  <w:r>
              <w:t xml:space="preserve">$142,845</w:t>
            </w:r>
          </w:p>
        </w:tc>
        <w:tc>
          <w:tcPr/>
          <w:p>
            <w:pPr>
              <w:pStyle w:val="Compact"/>
            </w:pPr>
            <w:r>
              <w:t xml:space="preserve">~$143K</w:t>
            </w:r>
          </w:p>
        </w:tc>
        <w:tc>
          <w:tcPr/>
          <w:p>
            <w:pPr>
              <w:pStyle w:val="Compact"/>
            </w:pPr>
            <w:r>
              <w:t xml:space="preserve">1,140</w:t>
            </w:r>
          </w:p>
        </w:tc>
        <w:tc>
          <w:tcPr/>
          <w:p>
            <w:pPr>
              <w:pStyle w:val="Compact"/>
            </w:pPr>
            <w:r>
              <w:t xml:space="preserve">~1,100</w:t>
            </w:r>
          </w:p>
        </w:tc>
        <w:tc>
          <w:tcPr/>
          <w:p>
            <w:pPr>
              <w:pStyle w:val="Compact"/>
            </w:pPr>
            <w:r>
              <w:t xml:space="preserve">~$130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~$159K</w:t>
            </w:r>
          </w:p>
        </w:tc>
        <w:tc>
          <w:tcPr/>
          <w:p>
            <w:pPr>
              <w:pStyle w:val="Compact"/>
            </w:pPr>
            <w:r>
              <w:t xml:space="preserve">1,110</w:t>
            </w:r>
          </w:p>
        </w:tc>
        <w:tc>
          <w:tcPr/>
          <w:p>
            <w:pPr>
              <w:pStyle w:val="Compact"/>
            </w:pPr>
            <w:r>
              <w:t xml:space="preserve">~1,100</w:t>
            </w:r>
          </w:p>
        </w:tc>
        <w:tc>
          <w:tcPr/>
          <w:p>
            <w:pPr>
              <w:pStyle w:val="Compact"/>
            </w:pPr>
            <w:r>
              <w:t xml:space="preserve">~$145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~$125K</w:t>
            </w:r>
          </w:p>
        </w:tc>
        <w:tc>
          <w:tcPr/>
          <w:p>
            <w:pPr>
              <w:pStyle w:val="Compact"/>
            </w:pPr>
            <w:r>
              <w:t xml:space="preserve">1,082</w:t>
            </w:r>
          </w:p>
        </w:tc>
        <w:tc>
          <w:tcPr/>
          <w:p>
            <w:pPr>
              <w:pStyle w:val="Compact"/>
            </w:pPr>
            <w:r>
              <w:t xml:space="preserve">~1,030</w:t>
            </w:r>
          </w:p>
        </w:tc>
        <w:tc>
          <w:tcPr/>
          <w:p>
            <w:pPr>
              <w:pStyle w:val="Compact"/>
            </w:pPr>
            <w:r>
              <w:t xml:space="preserve">~$121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(proj)</w:t>
            </w:r>
          </w:p>
        </w:tc>
        <w:tc>
          <w:tcPr/>
          <w:p>
            <w:pPr>
              <w:pStyle w:val="Compact"/>
            </w:pPr>
            <w:r>
              <w:t xml:space="preserve">$147,592</w:t>
            </w:r>
          </w:p>
        </w:tc>
        <w:tc>
          <w:tcPr/>
          <w:p>
            <w:pPr>
              <w:pStyle w:val="Compact"/>
            </w:pPr>
            <w:r>
              <w:t xml:space="preserve">~$108K</w:t>
            </w:r>
          </w:p>
        </w:tc>
        <w:tc>
          <w:tcPr/>
          <w:p>
            <w:pPr>
              <w:pStyle w:val="Compact"/>
            </w:pPr>
            <w:r>
              <w:t xml:space="preserve">1,071</w:t>
            </w:r>
          </w:p>
        </w:tc>
        <w:tc>
          <w:tcPr/>
          <w:p>
            <w:pPr>
              <w:pStyle w:val="Compact"/>
            </w:pPr>
            <w:r>
              <w:t xml:space="preserve">~886</w:t>
            </w:r>
          </w:p>
        </w:tc>
        <w:tc>
          <w:tcPr/>
          <w:p>
            <w:pPr>
              <w:pStyle w:val="Compact"/>
            </w:pPr>
            <w:r>
              <w:t xml:space="preserve">~$122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CPA is running below the $140 target (good), but registration volume is running 15–20% below OP2 targets. The gap is a volume problem, not an efficiency problem.</w:t>
      </w:r>
    </w:p>
    <w:bookmarkEnd w:id="13"/>
    <w:bookmarkStart w:id="14" w:name="budget-rules"/>
    <w:p>
      <w:pPr>
        <w:pStyle w:val="Heading3"/>
      </w:pPr>
      <w:r>
        <w:t xml:space="preserve">Budget Rules</w:t>
      </w:r>
    </w:p>
    <w:p>
      <w:pPr>
        <w:pStyle w:val="Compact"/>
        <w:numPr>
          <w:ilvl w:val="0"/>
          <w:numId w:val="1001"/>
        </w:numPr>
      </w:pPr>
      <w:r>
        <w:t xml:space="preserve">Monthly budgets can be adjusted based on performance trends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total annual spend cannot exceed the OP2 annual budget ($2,002,138 gross / $1,801,927 net)</w:t>
      </w:r>
    </w:p>
    <w:p>
      <w:pPr>
        <w:pStyle w:val="Compact"/>
        <w:numPr>
          <w:ilvl w:val="0"/>
          <w:numId w:val="1001"/>
        </w:numPr>
      </w:pPr>
      <w:r>
        <w:t xml:space="preserve">If additional budget is received (e.g., intra-channel AU transfer),</w:t>
      </w:r>
      <w:r>
        <w:t xml:space="preserve"> </w:t>
      </w:r>
      <w:r>
        <w:rPr>
          <w:b/>
          <w:bCs/>
        </w:rPr>
        <w:t xml:space="preserve">alert the Paid Search team</w:t>
      </w:r>
    </w:p>
    <w:p>
      <w:pPr>
        <w:pStyle w:val="Compact"/>
        <w:numPr>
          <w:ilvl w:val="0"/>
          <w:numId w:val="1001"/>
        </w:numPr>
      </w:pPr>
      <w:r>
        <w:t xml:space="preserve">R&amp;O (Revenue &amp; Operations) pacing is listed monthly above. R&amp;O suggested pacing is based on projections given limited historical data (AU launched Jun 2025)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how-to-monitor-performance"/>
    <w:p>
      <w:pPr>
        <w:pStyle w:val="Heading2"/>
      </w:pPr>
      <w:r>
        <w:t xml:space="preserve">4. How to Monitor Performance</w:t>
      </w:r>
    </w:p>
    <w:bookmarkStart w:id="18" w:name="weekly-performance-doc"/>
    <w:p>
      <w:pPr>
        <w:pStyle w:val="Heading3"/>
      </w:pPr>
      <w:r>
        <w:t xml:space="preserve">Weekly Performance Doc</w:t>
      </w:r>
    </w:p>
    <w:p>
      <w:pPr>
        <w:pStyle w:val="FirstParagraph"/>
      </w:pPr>
      <w:r>
        <w:rPr>
          <w:b/>
          <w:bCs/>
        </w:rPr>
        <w:t xml:space="preserve">Primary tracker:</w:t>
      </w:r>
      <w:r>
        <w:t xml:space="preserve"> </w:t>
      </w:r>
      <w:hyperlink r:id="rId16">
        <w:r>
          <w:rPr>
            <w:rStyle w:val="Hyperlink"/>
          </w:rPr>
          <w:t xml:space="preserve">AU PS Weekly Performance (Quip)</w:t>
        </w:r>
      </w:hyperlink>
      <w:r>
        <w:t xml:space="preserve"> </w:t>
      </w:r>
      <w:r>
        <w:t xml:space="preserve">- Contains OP2 targets, WoW trends (registrations, spend), MTD pacing vs OP2</w:t>
      </w:r>
      <w:r>
        <w:t xml:space="preserve"> </w:t>
      </w:r>
      <w:r>
        <w:t xml:space="preserve">- Callout context and notes on changes in targets, bid strategies, focus areas</w:t>
      </w:r>
      <w:r>
        <w:t xml:space="preserve"> </w:t>
      </w:r>
      <w:r>
        <w:t xml:space="preserve">- AU team is now responsible for updating this weekly</w:t>
      </w:r>
    </w:p>
    <w:p>
      <w:pPr>
        <w:pStyle w:val="BodyText"/>
      </w:pPr>
      <w:r>
        <w:rPr>
          <w:b/>
          <w:bCs/>
        </w:rPr>
        <w:t xml:space="preserve">Reporting spreadsheet:</w:t>
      </w:r>
      <w:r>
        <w:t xml:space="preserve"> </w:t>
      </w:r>
      <w:hyperlink r:id="rId17">
        <w:r>
          <w:rPr>
            <w:rStyle w:val="Hyperlink"/>
          </w:rPr>
          <w:t xml:space="preserve">AU-Paid-Search.xlsx (SharePoint)</w:t>
        </w:r>
      </w:hyperlink>
    </w:p>
    <w:bookmarkEnd w:id="18"/>
    <w:bookmarkStart w:id="19" w:name="how-to-pull-registration-data"/>
    <w:p>
      <w:pPr>
        <w:pStyle w:val="Heading3"/>
      </w:pPr>
      <w:r>
        <w:t xml:space="preserve">How to Pull Registration Data</w:t>
      </w:r>
    </w:p>
    <w:p>
      <w:pPr>
        <w:pStyle w:val="FirstParagraph"/>
      </w:pPr>
      <w:r>
        <w:rPr>
          <w:b/>
          <w:bCs/>
        </w:rPr>
        <w:t xml:space="preserve">Option A — GenBI:</w:t>
      </w:r>
      <w:r>
        <w:t xml:space="preserve"> </w:t>
      </w:r>
      <w:r>
        <w:t xml:space="preserve">- Use GenBI for self-service reporting on campaign/registration data</w:t>
      </w:r>
      <w:r>
        <w:t xml:space="preserve"> </w:t>
      </w:r>
      <w:r>
        <w:t xml:space="preserve">- Campaign-level data can be pulled weekly</w:t>
      </w:r>
      <w:r>
        <w:t xml:space="preserve"> </w:t>
      </w:r>
      <w:r>
        <w:t xml:space="preserve">- For issues with GenBI, reach out to ABMA</w:t>
      </w:r>
    </w:p>
    <w:p>
      <w:pPr>
        <w:pStyle w:val="BodyText"/>
      </w:pPr>
      <w:r>
        <w:rPr>
          <w:b/>
          <w:bCs/>
        </w:rPr>
        <w:t xml:space="preserve">Option B — Hubble Query:</w:t>
      </w:r>
      <w:r>
        <w:t xml:space="preserve"> </w:t>
      </w:r>
      <w:r>
        <w:t xml:space="preserve">Use this query to pull AU registrations by channel: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nva.account_verified_date,</w:t>
      </w:r>
      <w:r>
        <w:br/>
      </w:r>
      <w:r>
        <w:rPr>
          <w:rStyle w:val="NormalTok"/>
        </w:rPr>
        <w:t xml:space="preserve">  nva.feature_name,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CAA.business_tier_new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'SSR'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'SMB'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CAA.business_tier_new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Business_classification,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'AU'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Market_Country,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nva.business_account_id)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abbd_sandbox_mktg.ab_acq_channel_attr nva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abbd_sandbox_mktg.ab_business_accts_agg_metrics CAA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nva.BUSINESS_ACCOUNT_ID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CAA.BUSINESS_ACCOUNT_ID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nva.marketplace_id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caa.marketplace_id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nva.is_abuse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nva.overall_status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'VERIFIED_POSITIVE'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'WHITELISTED'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nva.channel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 Search'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nva.marketplace_id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111172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nva.account_verified_date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'20260101'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'20261231'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Option C — Adobe Exports:</w:t>
      </w:r>
      <w:r>
        <w:t xml:space="preserve"> </w:t>
      </w:r>
      <w:r>
        <w:t xml:space="preserve">Adobe Cloud can be configured to send automated reports via email:</w:t>
      </w:r>
      <w:r>
        <w:t xml:space="preserve"> </w:t>
      </w:r>
      <w:r>
        <w:t xml:space="preserve">- Campaign-level, ad group-level, or keyword-level views</w:t>
      </w:r>
      <w:r>
        <w:t xml:space="preserve"> </w:t>
      </w:r>
      <w:r>
        <w:t xml:space="preserve">- Different time lookback windows (daily, weekly, monthly)</w:t>
      </w:r>
      <w:r>
        <w:t xml:space="preserve"> </w:t>
      </w:r>
      <w:r>
        <w:t xml:space="preserve">- Can be set up to email a distribution list on a recurring schedule</w:t>
      </w:r>
      <w:r>
        <w:t xml:space="preserve"> </w:t>
      </w:r>
      <w:r>
        <w:t xml:space="preserve">- Advanced option: If you have an Excel template, Adobe can insert raw campaign-level data daily and email it to you</w:t>
      </w:r>
    </w:p>
    <w:bookmarkEnd w:id="19"/>
    <w:bookmarkStart w:id="20" w:name="performance-splits-available"/>
    <w:p>
      <w:pPr>
        <w:pStyle w:val="Heading3"/>
      </w:pPr>
      <w:r>
        <w:t xml:space="preserve">Performance Splits Available</w:t>
      </w:r>
    </w:p>
    <w:p>
      <w:pPr>
        <w:pStyle w:val="Compact"/>
        <w:numPr>
          <w:ilvl w:val="0"/>
          <w:numId w:val="1002"/>
        </w:numPr>
      </w:pPr>
      <w:r>
        <w:t xml:space="preserve">Performance by time period and search segment (including ref) via GenBI</w:t>
      </w:r>
    </w:p>
    <w:p>
      <w:pPr>
        <w:pStyle w:val="Compact"/>
        <w:numPr>
          <w:ilvl w:val="0"/>
          <w:numId w:val="1002"/>
        </w:numPr>
      </w:pPr>
      <w:r>
        <w:t xml:space="preserve">Registrations by campaign via GenBI or Hubble</w:t>
      </w:r>
    </w:p>
    <w:p>
      <w:pPr>
        <w:pStyle w:val="Compact"/>
        <w:numPr>
          <w:ilvl w:val="0"/>
          <w:numId w:val="1002"/>
        </w:numPr>
      </w:pPr>
      <w:r>
        <w:t xml:space="preserve">Keyword-level registration data is</w:t>
      </w:r>
      <w:r>
        <w:t xml:space="preserve"> </w:t>
      </w:r>
      <w:r>
        <w:rPr>
          <w:b/>
          <w:bCs/>
        </w:rPr>
        <w:t xml:space="preserve">not available until Q3 2026</w:t>
      </w:r>
      <w:r>
        <w:t xml:space="preserve"> </w:t>
      </w:r>
      <w:r>
        <w:t xml:space="preserve">— all NB keyword analysis is directional until then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optimization-playbook"/>
    <w:p>
      <w:pPr>
        <w:pStyle w:val="Heading2"/>
      </w:pPr>
      <w:r>
        <w:t xml:space="preserve">5. Optimization Playbook</w:t>
      </w:r>
    </w:p>
    <w:bookmarkStart w:id="22" w:name="goals"/>
    <w:p>
      <w:pPr>
        <w:pStyle w:val="Heading3"/>
      </w:pPr>
      <w:r>
        <w:t xml:space="preserve">Goals</w:t>
      </w:r>
    </w:p>
    <w:p>
      <w:pPr>
        <w:pStyle w:val="FirstParagraph"/>
      </w:pPr>
      <w:r>
        <w:t xml:space="preserve">Drive maximum volume of registrations within efficiency/budget constraints. The primary metric is blended CPA at or below $140 (OP2 target).</w:t>
      </w:r>
    </w:p>
    <w:p>
      <w:pPr>
        <w:pStyle w:val="BodyText"/>
      </w:pPr>
      <w:r>
        <w:rPr>
          <w:b/>
          <w:bCs/>
        </w:rPr>
        <w:t xml:space="preserve">Important context:</w:t>
      </w:r>
      <w:r>
        <w:t xml:space="preserve"> </w:t>
      </w:r>
      <w:r>
        <w:t xml:space="preserve">There is no ie%CCP target for AU yet. CCP data is not expected until July 2026. Until then, CPA is the only governing efficiency metric.</w:t>
      </w:r>
    </w:p>
    <w:bookmarkEnd w:id="22"/>
    <w:bookmarkStart w:id="23" w:name="what-levers-to-pull"/>
    <w:p>
      <w:pPr>
        <w:pStyle w:val="Heading3"/>
      </w:pPr>
      <w:r>
        <w:t xml:space="preserve">What Levers to Pull</w:t>
      </w:r>
    </w:p>
    <w:p>
      <w:pPr>
        <w:pStyle w:val="FirstParagraph"/>
      </w:pPr>
      <w:r>
        <w:rPr>
          <w:b/>
          <w:bCs/>
        </w:rPr>
        <w:t xml:space="preserve">Brand campaigns:</w:t>
      </w:r>
      <w:r>
        <w:t xml:space="preserve"> </w:t>
      </w:r>
      <w:r>
        <w:t xml:space="preserve">- Brand is efficient ($38–$45 CPA range) and driven primarily by organic search demand</w:t>
      </w:r>
      <w:r>
        <w:t xml:space="preserve"> </w:t>
      </w:r>
      <w:r>
        <w:t xml:space="preserve">- Brand traffic is volatile — it correlates with promotions, holidays, and seasonal events</w:t>
      </w:r>
      <w:r>
        <w:t xml:space="preserve"> </w:t>
      </w:r>
      <w:r>
        <w:t xml:space="preserve">- Don’t cut Brand budget to save money; it’s already efficient. Focus optimization energy on NB.</w:t>
      </w:r>
    </w:p>
    <w:p>
      <w:pPr>
        <w:pStyle w:val="BodyText"/>
      </w:pPr>
      <w:r>
        <w:rPr>
          <w:b/>
          <w:bCs/>
        </w:rPr>
        <w:t xml:space="preserve">Non-Brand campaigns:</w:t>
      </w:r>
      <w:r>
        <w:t xml:space="preserve"> </w:t>
      </w:r>
      <w:r>
        <w:t xml:space="preserve">- NB is where the CPA challenge lives ($180–$240 CPA range)</w:t>
      </w:r>
      <w:r>
        <w:t xml:space="preserve"> </w:t>
      </w:r>
      <w:r>
        <w:t xml:space="preserve">- NB CPC has been declining for 8 weeks (good) but CVR has been declining too (bad — Polaris-related, now reverted)</w:t>
      </w:r>
      <w:r>
        <w:t xml:space="preserve"> </w:t>
      </w:r>
      <w:r>
        <w:t xml:space="preserve">- Optimization approach per Brandon’s guidance:</w:t>
      </w:r>
      <w:r>
        <w:t xml:space="preserve"> </w:t>
      </w:r>
      <w:r>
        <w:rPr>
          <w:b/>
          <w:bCs/>
        </w:rPr>
        <w:t xml:space="preserve">Focus on the top 20 outlier keywords by CPC/CPA, not broad keyword removal.</w:t>
      </w:r>
      <w:r>
        <w:t xml:space="preserve"> </w:t>
      </w:r>
      <w:r>
        <w:t xml:space="preserve">CPC caps are a</w:t>
      </w:r>
      <w:r>
        <w:t xml:space="preserve"> </w:t>
      </w:r>
      <w:r>
        <w:t xml:space="preserve">“two-way door”</w:t>
      </w:r>
      <w:r>
        <w:t xml:space="preserve"> </w:t>
      </w:r>
      <w:r>
        <w:t xml:space="preserve">— reversible.</w:t>
      </w:r>
      <w:r>
        <w:t xml:space="preserve"> </w:t>
      </w:r>
      <w:r>
        <w:t xml:space="preserve">- Negative keywords have been added across campaigns to improve bid strategy effectiveness</w:t>
      </w:r>
      <w:r>
        <w:t xml:space="preserve"> </w:t>
      </w:r>
      <w:r>
        <w:t xml:space="preserve">- Bid strategies are managed in Adobe Cloud, not Google Ads directly</w:t>
      </w:r>
    </w:p>
    <w:bookmarkEnd w:id="23"/>
    <w:bookmarkStart w:id="24" w:name="testing-approach"/>
    <w:p>
      <w:pPr>
        <w:pStyle w:val="Heading3"/>
      </w:pPr>
      <w:r>
        <w:t xml:space="preserve">Testing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testing period:</w:t>
      </w:r>
      <w:r>
        <w:t xml:space="preserve"> </w:t>
      </w:r>
      <w:r>
        <w:t xml:space="preserve">End of September 2026 (allows enough data to accumulate post-OCI)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Two-campaign structure pilot:</w:t>
      </w:r>
      <w:r>
        <w:t xml:space="preserve"> </w:t>
      </w:r>
      <w:r>
        <w:t xml:space="preserve">Product-intent keywords vs. business-intent keywords — approved for phased testing with a 4-week measurement period before scaling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Landing page testing:</w:t>
      </w:r>
      <w:r>
        <w:t xml:space="preserve"> </w:t>
      </w:r>
      <w:r>
        <w:t xml:space="preserve">Polaris pages were reverted due to CVR issues. Any future LP testing should be monitored closely for CVR impact. Consider testing EN pages first (including UK/AU), then non-EN since those need localization.</w:t>
      </w:r>
    </w:p>
    <w:bookmarkEnd w:id="24"/>
    <w:bookmarkStart w:id="26" w:name="keyword-management"/>
    <w:p>
      <w:pPr>
        <w:pStyle w:val="Heading3"/>
      </w:pPr>
      <w:r>
        <w:t xml:space="preserve">Keyword Management</w:t>
      </w:r>
    </w:p>
    <w:p>
      <w:pPr>
        <w:pStyle w:val="Compact"/>
        <w:numPr>
          <w:ilvl w:val="0"/>
          <w:numId w:val="1004"/>
        </w:numPr>
      </w:pPr>
      <w:r>
        <w:t xml:space="preserve">A keyword file was shared covering W12–W13:</w:t>
      </w:r>
      <w:r>
        <w:t xml:space="preserve"> </w:t>
      </w:r>
      <w:hyperlink r:id="rId25">
        <w:r>
          <w:rPr>
            <w:rStyle w:val="Hyperlink"/>
          </w:rPr>
          <w:t xml:space="preserve">au_all_keywords_w12_13.xlsx</w:t>
        </w:r>
      </w:hyperlink>
    </w:p>
    <w:p>
      <w:pPr>
        <w:pStyle w:val="Compact"/>
        <w:numPr>
          <w:ilvl w:val="1"/>
          <w:numId w:val="1005"/>
        </w:numPr>
      </w:pPr>
      <w:r>
        <w:t xml:space="preserve">Tab 1: Keywords with higher than $100 CPA</w:t>
      </w:r>
    </w:p>
    <w:p>
      <w:pPr>
        <w:pStyle w:val="Compact"/>
        <w:numPr>
          <w:ilvl w:val="1"/>
          <w:numId w:val="1005"/>
        </w:numPr>
      </w:pPr>
      <w:r>
        <w:t xml:space="preserve">Tab 2: Raw keyword performance</w:t>
      </w:r>
    </w:p>
    <w:p>
      <w:pPr>
        <w:pStyle w:val="Compact"/>
        <w:numPr>
          <w:ilvl w:val="1"/>
          <w:numId w:val="1005"/>
        </w:numPr>
      </w:pPr>
      <w:r>
        <w:t xml:space="preserve">Search queries show what people searched; keywords show what the queries matched to</w:t>
      </w:r>
    </w:p>
    <w:p>
      <w:pPr>
        <w:pStyle w:val="Compact"/>
        <w:numPr>
          <w:ilvl w:val="0"/>
          <w:numId w:val="1004"/>
        </w:numPr>
      </w:pPr>
      <w:r>
        <w:t xml:space="preserve">Feedback on search queries helps determine fit for the business</w:t>
      </w:r>
    </w:p>
    <w:p>
      <w:pPr>
        <w:pStyle w:val="Compact"/>
        <w:numPr>
          <w:ilvl w:val="0"/>
          <w:numId w:val="1004"/>
        </w:numPr>
      </w:pPr>
      <w:r>
        <w:t xml:space="preserve">Separate generic vs. product keywords (don’t mix them)</w:t>
      </w:r>
    </w:p>
    <w:p>
      <w:pPr>
        <w:pStyle w:val="Compact"/>
        <w:numPr>
          <w:ilvl w:val="0"/>
          <w:numId w:val="1004"/>
        </w:numPr>
      </w:pPr>
      <w:r>
        <w:t xml:space="preserve">Perishables and alcohol: keywords paused and negatives added — we should not be bidding on these terms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billing-financial-operations"/>
    <w:p>
      <w:pPr>
        <w:pStyle w:val="Heading2"/>
      </w:pPr>
      <w:r>
        <w:t xml:space="preserve">6. Billing &amp; Financial Operations</w:t>
      </w:r>
    </w:p>
    <w:bookmarkStart w:id="28" w:name="ro-revenue-operations"/>
    <w:p>
      <w:pPr>
        <w:pStyle w:val="Heading3"/>
      </w:pPr>
      <w:r>
        <w:t xml:space="preserve">R&amp;O (Revenue &amp; Operations)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 team owns R&amp;O starting April 2026</w:t>
      </w:r>
      <w:r>
        <w:t xml:space="preserve"> </w:t>
      </w:r>
      <w:r>
        <w:t xml:space="preserve">(March R&amp;O concluded April 9)</w:t>
      </w:r>
    </w:p>
    <w:p>
      <w:pPr>
        <w:pStyle w:val="Compact"/>
        <w:numPr>
          <w:ilvl w:val="0"/>
          <w:numId w:val="1006"/>
        </w:numPr>
      </w:pPr>
      <w:r>
        <w:t xml:space="preserve">Subscribe to ab-marketing-budget@ for communications</w:t>
      </w:r>
    </w:p>
    <w:p>
      <w:pPr>
        <w:pStyle w:val="Compact"/>
        <w:numPr>
          <w:ilvl w:val="0"/>
          <w:numId w:val="1006"/>
        </w:numPr>
      </w:pPr>
      <w:r>
        <w:t xml:space="preserve">When completing R&amp;O, use the</w:t>
      </w:r>
      <w:r>
        <w:t xml:space="preserve"> </w:t>
      </w:r>
      <w:r>
        <w:rPr>
          <w:b/>
          <w:bCs/>
        </w:rPr>
        <w:t xml:space="preserve">SSR tracker file</w:t>
      </w:r>
    </w:p>
    <w:p>
      <w:pPr>
        <w:pStyle w:val="Compact"/>
        <w:numPr>
          <w:ilvl w:val="0"/>
          <w:numId w:val="1006"/>
        </w:numPr>
      </w:pPr>
      <w:r>
        <w:t xml:space="preserve">Only update the</w:t>
      </w:r>
      <w:r>
        <w:t xml:space="preserve"> </w:t>
      </w:r>
      <w:r>
        <w:rPr>
          <w:b/>
          <w:bCs/>
        </w:rPr>
        <w:t xml:space="preserve">AU row</w:t>
      </w:r>
      <w:r>
        <w:t xml:space="preserve"> </w:t>
      </w:r>
      <w:r>
        <w:t xml:space="preserve">within the</w:t>
      </w:r>
      <w:r>
        <w:t xml:space="preserve"> </w:t>
      </w:r>
      <w:r>
        <w:t xml:space="preserve">“SSR Acquisition Paid Search”</w:t>
      </w:r>
      <w:r>
        <w:t xml:space="preserve"> </w:t>
      </w:r>
      <w:r>
        <w:t xml:space="preserve">section (cells R100–R112)</w:t>
      </w:r>
    </w:p>
    <w:p>
      <w:pPr>
        <w:pStyle w:val="Compact"/>
        <w:numPr>
          <w:ilvl w:val="0"/>
          <w:numId w:val="1006"/>
        </w:numPr>
      </w:pPr>
      <w:r>
        <w:t xml:space="preserve">R&amp;O sample from Q1 is available in the tracker file for reference</w:t>
      </w:r>
    </w:p>
    <w:bookmarkEnd w:id="28"/>
    <w:bookmarkStart w:id="29" w:name="asp-po"/>
    <w:p>
      <w:pPr>
        <w:pStyle w:val="Heading3"/>
      </w:pPr>
      <w:r>
        <w:t xml:space="preserve">ASP &amp; PO</w:t>
      </w:r>
    </w:p>
    <w:p>
      <w:pPr>
        <w:pStyle w:val="Compact"/>
        <w:numPr>
          <w:ilvl w:val="0"/>
          <w:numId w:val="1007"/>
        </w:numPr>
      </w:pPr>
      <w:r>
        <w:t xml:space="preserve">Owned by AU team — no change from current process</w:t>
      </w:r>
    </w:p>
    <w:bookmarkEnd w:id="29"/>
    <w:bookmarkStart w:id="30" w:name="google-ads-po"/>
    <w:p>
      <w:pPr>
        <w:pStyle w:val="Heading3"/>
      </w:pPr>
      <w:r>
        <w:t xml:space="preserve">Google Ads PO</w:t>
      </w:r>
    </w:p>
    <w:p>
      <w:pPr>
        <w:pStyle w:val="Compact"/>
        <w:numPr>
          <w:ilvl w:val="0"/>
          <w:numId w:val="1008"/>
        </w:numPr>
      </w:pPr>
      <w:r>
        <w:t xml:space="preserve">AU team updates when new POs are created (Stella owns PO creation)</w:t>
      </w:r>
    </w:p>
    <w:p>
      <w:pPr>
        <w:pStyle w:val="Compact"/>
        <w:numPr>
          <w:ilvl w:val="0"/>
          <w:numId w:val="1008"/>
        </w:numPr>
      </w:pPr>
      <w:r>
        <w:t xml:space="preserve">The current PO covers all of 2026 — a new PO will not be needed until 2027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rules-guardrails"/>
    <w:p>
      <w:pPr>
        <w:pStyle w:val="Heading2"/>
      </w:pPr>
      <w:r>
        <w:t xml:space="preserve">7. Rules &amp; Guardrails</w:t>
      </w:r>
    </w:p>
    <w:bookmarkStart w:id="32" w:name="access"/>
    <w:p>
      <w:pPr>
        <w:pStyle w:val="Heading3"/>
      </w:pPr>
      <w:r>
        <w:t xml:space="preserve">Access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 not remove Paid Search team Google Ads access.</w:t>
      </w:r>
      <w:r>
        <w:t xml:space="preserve"> </w:t>
      </w:r>
      <w:r>
        <w:t xml:space="preserve">The PS team needs continued access for WW initiative coordination and troubleshooting support.</w:t>
      </w:r>
    </w:p>
    <w:bookmarkEnd w:id="32"/>
    <w:bookmarkStart w:id="33" w:name="reporting-documentation"/>
    <w:p>
      <w:pPr>
        <w:pStyle w:val="Heading3"/>
      </w:pPr>
      <w:r>
        <w:t xml:space="preserve">Reporting &amp; Documentation</w:t>
      </w:r>
    </w:p>
    <w:p>
      <w:pPr>
        <w:pStyle w:val="Compact"/>
        <w:numPr>
          <w:ilvl w:val="0"/>
          <w:numId w:val="1010"/>
        </w:numPr>
      </w:pPr>
      <w:r>
        <w:t xml:space="preserve">AU team is responsible for performance updates in xBRs and docs</w:t>
      </w:r>
    </w:p>
    <w:p>
      <w:pPr>
        <w:pStyle w:val="Compact"/>
        <w:numPr>
          <w:ilvl w:val="0"/>
          <w:numId w:val="1010"/>
        </w:numPr>
      </w:pPr>
      <w:r>
        <w:t xml:space="preserve">Use GenBI for reporting data</w:t>
      </w:r>
    </w:p>
    <w:p>
      <w:pPr>
        <w:pStyle w:val="Compact"/>
        <w:numPr>
          <w:ilvl w:val="0"/>
          <w:numId w:val="1010"/>
        </w:numPr>
      </w:pPr>
      <w:r>
        <w:t xml:space="preserve">For data issues, reach out to ABMA (submit SIM ticket)</w:t>
      </w:r>
    </w:p>
    <w:bookmarkEnd w:id="33"/>
    <w:bookmarkStart w:id="34" w:name="ref-tag-naming-convention"/>
    <w:p>
      <w:pPr>
        <w:pStyle w:val="Heading3"/>
      </w:pPr>
      <w:r>
        <w:t xml:space="preserve">Ref Tag Naming Convention</w:t>
      </w:r>
    </w:p>
    <w:p>
      <w:pPr>
        <w:pStyle w:val="FirstParagraph"/>
      </w:pPr>
      <w:r>
        <w:t xml:space="preserve">All registrations are attributed based on ref tag naming.</w:t>
      </w:r>
      <w:r>
        <w:t xml:space="preserve"> </w:t>
      </w:r>
      <w:r>
        <w:rPr>
          <w:b/>
          <w:bCs/>
        </w:rPr>
        <w:t xml:space="preserve">Registrations will only be attributed if the naming convention is followed.</w:t>
      </w:r>
    </w:p>
    <w:p>
      <w:pPr>
        <w:pStyle w:val="BodyText"/>
      </w:pPr>
      <w:r>
        <w:rPr>
          <w:b/>
          <w:bCs/>
        </w:rPr>
        <w:t xml:space="preserve">Current structure:</w:t>
      </w:r>
      <w:r>
        <w:t xml:space="preserve"> </w:t>
      </w:r>
      <w:r>
        <w:t xml:space="preserve">- Brand: ref tag contains</w:t>
      </w:r>
      <w:r>
        <w:t xml:space="preserve"> </w:t>
      </w:r>
      <w:r>
        <w:rPr>
          <w:rStyle w:val="VerbatimChar"/>
        </w:rPr>
        <w:t xml:space="preserve">pd_sl_au_brand</w:t>
      </w:r>
      <w:r>
        <w:t xml:space="preserve"> </w:t>
      </w:r>
      <w:r>
        <w:t xml:space="preserve">- Non-Brand: ref tag contains</w:t>
      </w:r>
      <w:r>
        <w:t xml:space="preserve"> </w:t>
      </w:r>
      <w:r>
        <w:rPr>
          <w:rStyle w:val="VerbatimChar"/>
        </w:rPr>
        <w:t xml:space="preserve">pd_sl_au</w:t>
      </w:r>
      <w:r>
        <w:t xml:space="preserve"> </w:t>
      </w:r>
      <w:r>
        <w:t xml:space="preserve">but does NOT contain</w:t>
      </w:r>
      <w:r>
        <w:t xml:space="preserve"> </w:t>
      </w:r>
      <w:r>
        <w:rPr>
          <w:rStyle w:val="VerbatimChar"/>
        </w:rPr>
        <w:t xml:space="preserve">brand</w:t>
      </w:r>
    </w:p>
    <w:p>
      <w:pPr>
        <w:pStyle w:val="BodyText"/>
      </w:pPr>
      <w:r>
        <w:rPr>
          <w:b/>
          <w:bCs/>
        </w:rPr>
        <w:t xml:space="preserve">Creating new ref tags:</w:t>
      </w:r>
      <w:r>
        <w:t xml:space="preserve"> </w:t>
      </w:r>
      <w:r>
        <w:t xml:space="preserve">- New refs can be created using the current format above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 ref tag updates must be aligned with the PS team</w:t>
      </w:r>
      <w:r>
        <w:t xml:space="preserve"> </w:t>
      </w:r>
      <w:r>
        <w:t xml:space="preserve">— misnamed refs will break attribution</w:t>
      </w:r>
    </w:p>
    <w:bookmarkEnd w:id="34"/>
    <w:bookmarkStart w:id="35" w:name="paid-search-flash"/>
    <w:p>
      <w:pPr>
        <w:pStyle w:val="Heading3"/>
      </w:pPr>
      <w:r>
        <w:t xml:space="preserve">Paid Search Flash</w:t>
      </w:r>
    </w:p>
    <w:p>
      <w:pPr>
        <w:pStyle w:val="Compact"/>
        <w:numPr>
          <w:ilvl w:val="0"/>
          <w:numId w:val="1011"/>
        </w:numPr>
      </w:pPr>
      <w:r>
        <w:t xml:space="preserve">Subscribe to the PS Flash for WW updates</w:t>
      </w:r>
    </w:p>
    <w:p>
      <w:pPr>
        <w:pStyle w:val="Compact"/>
        <w:numPr>
          <w:ilvl w:val="0"/>
          <w:numId w:val="1011"/>
        </w:numPr>
      </w:pPr>
      <w:r>
        <w:t xml:space="preserve">Can submit a SIM ticket for help/questions</w:t>
      </w:r>
    </w:p>
    <w:bookmarkEnd w:id="35"/>
    <w:bookmarkStart w:id="36" w:name="ww-initiatives"/>
    <w:p>
      <w:pPr>
        <w:pStyle w:val="Heading3"/>
      </w:pPr>
      <w:r>
        <w:t xml:space="preserve">WW Initiatives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Events:</w:t>
      </w:r>
      <w:r>
        <w:t xml:space="preserve"> </w:t>
      </w:r>
      <w:r>
        <w:t xml:space="preserve">AU PS to work with AU team for creation of sitelinks. These are typically localized anyway — AU team can handle directly.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Landing Page / MCS Updates:</w:t>
      </w:r>
      <w:r>
        <w:t xml:space="preserve"> </w:t>
      </w:r>
      <w:r>
        <w:t xml:space="preserve">PS team will alert AU once WW NB updates are complete. AU team can utilize pages as they see fit.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d96c71d871b35f03b6a8c7fdcf1022b3523b83a"/>
    <w:p>
      <w:pPr>
        <w:pStyle w:val="Heading2"/>
      </w:pPr>
      <w:r>
        <w:t xml:space="preserve">8. Upcoming: OCI (Online Conversion Integration)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OCI connects Google Ads conversion tracking to Amazon’s internal conversion data, improving bid strategy optimization. Markets with OCI see 18–24% registration uplift (US +24%, UK +23%, DE +18%).</w:t>
      </w:r>
    </w:p>
    <w:p>
      <w:pPr>
        <w:pStyle w:val="BodyText"/>
      </w:pPr>
      <w:r>
        <w:rPr>
          <w:b/>
          <w:bCs/>
        </w:rPr>
        <w:t xml:space="preserve">AU OCI status:</w:t>
      </w:r>
      <w:r>
        <w:t xml:space="preserve"> </w:t>
      </w:r>
      <w:r>
        <w:t xml:space="preserve">Planned for May 2026, but</w:t>
      </w:r>
      <w:r>
        <w:t xml:space="preserve"> </w:t>
      </w:r>
      <w:r>
        <w:rPr>
          <w:b/>
          <w:bCs/>
        </w:rPr>
        <w:t xml:space="preserve">no MCC has been created yet.</w:t>
      </w:r>
      <w:r>
        <w:t xml:space="preserve"> </w:t>
      </w:r>
      <w:r>
        <w:t xml:space="preserve">MCC creation requires 2–3 weeks of lead time for Google Ads account setup and conversion signal configuration.</w:t>
      </w:r>
    </w:p>
    <w:p>
      <w:pPr>
        <w:pStyle w:val="BodyText"/>
      </w:pPr>
      <w:r>
        <w:rPr>
          <w:b/>
          <w:bCs/>
        </w:rPr>
        <w:t xml:space="preserve">Action needed:</w:t>
      </w:r>
      <w:r>
        <w:t xml:space="preserve"> </w:t>
      </w:r>
      <w:r>
        <w:t xml:space="preserve">MCC creation must begin by mid-April or the May launch slips to June+. At AU’s current ~170 regs/week baseline, a 20% OCI uplift would add ~34 regs/week (~1,768 annualized, worth ~$230K at $130 CPA).</w:t>
      </w:r>
    </w:p>
    <w:p>
      <w:pPr>
        <w:pStyle w:val="BodyText"/>
      </w:pPr>
      <w:r>
        <w:rPr>
          <w:b/>
          <w:bCs/>
        </w:rPr>
        <w:t xml:space="preserve">AU team action:</w:t>
      </w:r>
      <w:r>
        <w:t xml:space="preserve"> </w:t>
      </w:r>
      <w:r>
        <w:t xml:space="preserve">Coordinate with PS team on MCC creation timing.</w:t>
      </w:r>
    </w:p>
    <w:p>
      <w:r>
        <w:pict>
          <v:rect style="width:0;height:1.5pt" o:hralign="center" o:hrstd="t" o:hr="t"/>
        </w:pict>
      </w:r>
    </w:p>
    <w:bookmarkEnd w:id="38"/>
    <w:bookmarkStart w:id="39" w:name="landing-pages"/>
    <w:p>
      <w:pPr>
        <w:pStyle w:val="Heading2"/>
      </w:pPr>
      <w:r>
        <w:t xml:space="preserve">9. Landing Pages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Polaris landing pages were tested in W13 and caused a significant CVR drop (from ~4.0% to 2.8%). Pages have been reverted to pre-Polaris versions as of W15.</w:t>
      </w:r>
    </w:p>
    <w:p>
      <w:pPr>
        <w:pStyle w:val="BodyText"/>
      </w:pPr>
      <w:r>
        <w:rPr>
          <w:b/>
          <w:bCs/>
        </w:rPr>
        <w:t xml:space="preserve">Key pages:</w:t>
      </w:r>
      <w:r>
        <w:t xml:space="preserve"> </w:t>
      </w:r>
      <w:r>
        <w:t xml:space="preserve">- Registration page: https://www.amazon.com.au/business/register/org/landing</w:t>
      </w:r>
      <w:r>
        <w:t xml:space="preserve"> </w:t>
      </w:r>
      <w:r>
        <w:t xml:space="preserve">- MRO/Industrial LP: https://business.amazon.com/en/cp/lpa-mro-industrial (used for NB email overlay test)</w:t>
      </w:r>
    </w:p>
    <w:p>
      <w:pPr>
        <w:pStyle w:val="BodyText"/>
      </w:pPr>
      <w:r>
        <w:rPr>
          <w:b/>
          <w:bCs/>
        </w:rPr>
        <w:t xml:space="preserve">Landing page testing guidance:</w:t>
      </w:r>
      <w:r>
        <w:t xml:space="preserve"> </w:t>
      </w:r>
      <w:r>
        <w:t xml:space="preserve">- Any LP changes carry risk to registration performance — monitor CVR closely after any change</w:t>
      </w:r>
      <w:r>
        <w:t xml:space="preserve"> </w:t>
      </w:r>
      <w:r>
        <w:t xml:space="preserve">- Start with a smaller percentage of traffic in test, increase as confident</w:t>
      </w:r>
      <w:r>
        <w:t xml:space="preserve"> </w:t>
      </w:r>
      <w:r>
        <w:t xml:space="preserve">- Consider the full funnel (ad → LP → registration → verification), not just the LP in isolation</w:t>
      </w:r>
      <w:r>
        <w:t xml:space="preserve"> </w:t>
      </w:r>
      <w:r>
        <w:t xml:space="preserve">- If building new pages, start with EN (including UK/AU) then localize</w:t>
      </w:r>
    </w:p>
    <w:p>
      <w:r>
        <w:pict>
          <v:rect style="width:0;height:1.5pt" o:hralign="center" o:hrstd="t" o:hr="t"/>
        </w:pict>
      </w:r>
    </w:p>
    <w:bookmarkEnd w:id="39"/>
    <w:bookmarkStart w:id="42" w:name="X51f63ed54b37d1b538a910533f5e85aae145d28"/>
    <w:p>
      <w:pPr>
        <w:pStyle w:val="Heading2"/>
      </w:pPr>
      <w:r>
        <w:t xml:space="preserve">10. Process: New Country Launches &amp; Ongoing Oversight</w:t>
      </w:r>
    </w:p>
    <w:bookmarkStart w:id="40" w:name="new-country-launches"/>
    <w:p>
      <w:pPr>
        <w:pStyle w:val="Heading3"/>
      </w:pPr>
      <w:r>
        <w:t xml:space="preserve">New Country Launches</w:t>
      </w:r>
    </w:p>
    <w:p>
      <w:pPr>
        <w:pStyle w:val="Compact"/>
        <w:numPr>
          <w:ilvl w:val="0"/>
          <w:numId w:val="1013"/>
        </w:numPr>
      </w:pPr>
      <w:r>
        <w:t xml:space="preserve">PS team provides account copy for localization as needed</w:t>
      </w:r>
    </w:p>
    <w:bookmarkEnd w:id="40"/>
    <w:bookmarkStart w:id="41" w:name="ongoing-oversight"/>
    <w:p>
      <w:pPr>
        <w:pStyle w:val="Heading3"/>
      </w:pPr>
      <w:r>
        <w:t xml:space="preserve">Ongoing Oversight</w:t>
      </w:r>
    </w:p>
    <w:p>
      <w:pPr>
        <w:pStyle w:val="Compact"/>
        <w:numPr>
          <w:ilvl w:val="0"/>
          <w:numId w:val="1014"/>
        </w:numPr>
      </w:pPr>
      <w:r>
        <w:t xml:space="preserve">PS team will alert AU for WW issues (rare)</w:t>
      </w:r>
    </w:p>
    <w:p>
      <w:pPr>
        <w:pStyle w:val="Compact"/>
        <w:numPr>
          <w:ilvl w:val="0"/>
          <w:numId w:val="1014"/>
        </w:numPr>
      </w:pPr>
      <w:r>
        <w:t xml:space="preserve">No regular cadence required — ad hoc as needed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key-reference-documents"/>
    <w:p>
      <w:pPr>
        <w:pStyle w:val="Heading2"/>
      </w:pPr>
      <w:r>
        <w:t xml:space="preserve">11. Key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 PS Weekly Performance</w:t>
            </w:r>
          </w:p>
        </w:tc>
        <w:tc>
          <w:tcPr/>
          <w:p>
            <w:pPr>
              <w:pStyle w:val="Compact"/>
            </w:pPr>
            <w:r>
              <w:t xml:space="preserve">WoW performance, callouts, notes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Quip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 PS Launch Doc</w:t>
            </w:r>
          </w:p>
        </w:tc>
        <w:tc>
          <w:tcPr/>
          <w:p>
            <w:pPr>
              <w:pStyle w:val="Compact"/>
            </w:pPr>
            <w:r>
              <w:t xml:space="preserve">Original launch planning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Quip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2026 AU Testing</w:t>
            </w:r>
          </w:p>
        </w:tc>
        <w:tc>
          <w:tcPr/>
          <w:p>
            <w:pPr>
              <w:pStyle w:val="Compact"/>
            </w:pPr>
            <w:r>
              <w:t xml:space="preserve">Test tracker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Quip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 Events Calendar</w:t>
            </w:r>
          </w:p>
        </w:tc>
        <w:tc>
          <w:tcPr/>
          <w:p>
            <w:pPr>
              <w:pStyle w:val="Compact"/>
            </w:pPr>
            <w:r>
              <w:t xml:space="preserve">Planned events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Quip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 Market Guide H1 2026</w:t>
            </w:r>
          </w:p>
        </w:tc>
        <w:tc>
          <w:tcPr/>
          <w:p>
            <w:pPr>
              <w:pStyle w:val="Compact"/>
            </w:pPr>
            <w:r>
              <w:t xml:space="preserve">Google team market insights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PDF in Quip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Y26 OP2 Forecast</w:t>
            </w:r>
          </w:p>
        </w:tc>
        <w:tc>
          <w:tcPr/>
          <w:p>
            <w:pPr>
              <w:pStyle w:val="Compact"/>
            </w:pPr>
            <w:r>
              <w:t xml:space="preserve">Registration forecast model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SharePoint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 Holidays</w:t>
            </w:r>
          </w:p>
        </w:tc>
        <w:tc>
          <w:tcPr/>
          <w:p>
            <w:pPr>
              <w:pStyle w:val="Compact"/>
            </w:pPr>
            <w:r>
              <w:t xml:space="preserve">Public holidays calendar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publicholidays.com.au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internal-next-steps-ps-team-pre-handoff"/>
    <w:p>
      <w:pPr>
        <w:pStyle w:val="Heading2"/>
      </w:pPr>
      <w:r>
        <w:t xml:space="preserve">12. Internal Next Steps (PS Team — Pre-Handoff)</w:t>
      </w:r>
    </w:p>
    <w:p>
      <w:pPr>
        <w:pStyle w:val="Compact"/>
        <w:numPr>
          <w:ilvl w:val="0"/>
          <w:numId w:val="1015"/>
        </w:numPr>
      </w:pPr>
      <w:r>
        <w:t xml:space="preserve">Brandon to email Lena re: handoff call timing (4/13)</w:t>
      </w:r>
    </w:p>
    <w:p>
      <w:pPr>
        <w:pStyle w:val="Compact"/>
        <w:numPr>
          <w:ilvl w:val="0"/>
          <w:numId w:val="1016"/>
        </w:numPr>
      </w:pPr>
      <w:r>
        <w:t xml:space="preserve">Brandon to confirm with Kate first (4/13)</w:t>
      </w:r>
    </w:p>
    <w:p>
      <w:pPr>
        <w:pStyle w:val="Compact"/>
        <w:numPr>
          <w:ilvl w:val="0"/>
          <w:numId w:val="1017"/>
        </w:numPr>
      </w:pPr>
      <w:r>
        <w:t xml:space="preserve">Richard to prepare this documentation (4/14)</w:t>
      </w:r>
    </w:p>
    <w:p>
      <w:pPr>
        <w:pStyle w:val="Compact"/>
        <w:numPr>
          <w:ilvl w:val="0"/>
          <w:numId w:val="1018"/>
        </w:numPr>
      </w:pPr>
      <w:r>
        <w:t xml:space="preserve">Richard to add YTD Actuals/R&amp;O column to budget table (see Section 3)</w:t>
      </w:r>
    </w:p>
    <w:p>
      <w:pPr>
        <w:pStyle w:val="Compact"/>
        <w:numPr>
          <w:ilvl w:val="0"/>
          <w:numId w:val="1019"/>
        </w:numPr>
      </w:pPr>
      <w:r>
        <w:t xml:space="preserve">Confirm OCI MCC creation timeline with AU team</w:t>
      </w:r>
    </w:p>
    <w:p>
      <w:pPr>
        <w:pStyle w:val="Compact"/>
        <w:numPr>
          <w:ilvl w:val="0"/>
          <w:numId w:val="1020"/>
        </w:numPr>
      </w:pPr>
      <w:r>
        <w:t xml:space="preserve">Schedule first biweekly keyword review with Alexis (target: week of Apr 14)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3"/>
  </w:num>
  <w:num w:numId="1016">
    <w:abstractNumId w:val="993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amazon-my.sharepoint.com/:x:/p/prichwil/IQBD-gb5zK5xS4tVlz4m6wDyAW5afOGDAhKnxs0fPCKmc48?e=aYyd6G" TargetMode="External" /><Relationship Type="http://schemas.openxmlformats.org/officeDocument/2006/relationships/hyperlink" Id="rId25" Target="https://amazon-my.sharepoint.com/:x:/p/prichwil/IQDxRiZuasDMQrVU-sPoN8clATgDB48relsUg_rxoQd4pFA?e=l8g5Yi" TargetMode="External" /><Relationship Type="http://schemas.openxmlformats.org/officeDocument/2006/relationships/hyperlink" Id="rId47" Target="https://amazonaus-my.sharepoint.com/:x:/r/personal/gompesm_amazon_com/_layouts/15/doc2.aspx?sourcedoc=%7B0042920A-2D17-43C3-B967-F05C6F340D72%7D" TargetMode="External" /><Relationship Type="http://schemas.openxmlformats.org/officeDocument/2006/relationships/hyperlink" Id="rId48" Target="https://publicholidays.com.au/#2025-public-holidays" TargetMode="External" /><Relationship Type="http://schemas.openxmlformats.org/officeDocument/2006/relationships/hyperlink" Id="rId46" Target="https://quip-amazon.com/-/blob/ZZR9AAs7OfO/Becr7zzFycBTLz0G0O4ukA" TargetMode="External" /><Relationship Type="http://schemas.openxmlformats.org/officeDocument/2006/relationships/hyperlink" Id="rId16" Target="https://quip-amazon.com/84SxAbCaICKb/AU-PS-Weekly-Performance" TargetMode="External" /><Relationship Type="http://schemas.openxmlformats.org/officeDocument/2006/relationships/hyperlink" Id="rId45" Target="https://quip-amazon.com/GkMhANNFpn7z" TargetMode="External" /><Relationship Type="http://schemas.openxmlformats.org/officeDocument/2006/relationships/hyperlink" Id="rId44" Target="https://quip-amazon.com/IAJ9AAZJsDL" TargetMode="External" /><Relationship Type="http://schemas.openxmlformats.org/officeDocument/2006/relationships/hyperlink" Id="rId43" Target="https://quip-amazon.com/JMZ9AAput1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amazon-my.sharepoint.com/:x:/p/prichwil/IQBD-gb5zK5xS4tVlz4m6wDyAW5afOGDAhKnxs0fPCKmc48?e=aYyd6G" TargetMode="External" /><Relationship Type="http://schemas.openxmlformats.org/officeDocument/2006/relationships/hyperlink" Id="rId25" Target="https://amazon-my.sharepoint.com/:x:/p/prichwil/IQDxRiZuasDMQrVU-sPoN8clATgDB48relsUg_rxoQd4pFA?e=l8g5Yi" TargetMode="External" /><Relationship Type="http://schemas.openxmlformats.org/officeDocument/2006/relationships/hyperlink" Id="rId47" Target="https://amazonaus-my.sharepoint.com/:x:/r/personal/gompesm_amazon_com/_layouts/15/doc2.aspx?sourcedoc=%7B0042920A-2D17-43C3-B967-F05C6F340D72%7D" TargetMode="External" /><Relationship Type="http://schemas.openxmlformats.org/officeDocument/2006/relationships/hyperlink" Id="rId48" Target="https://publicholidays.com.au/#2025-public-holidays" TargetMode="External" /><Relationship Type="http://schemas.openxmlformats.org/officeDocument/2006/relationships/hyperlink" Id="rId46" Target="https://quip-amazon.com/-/blob/ZZR9AAs7OfO/Becr7zzFycBTLz0G0O4ukA" TargetMode="External" /><Relationship Type="http://schemas.openxmlformats.org/officeDocument/2006/relationships/hyperlink" Id="rId16" Target="https://quip-amazon.com/84SxAbCaICKb/AU-PS-Weekly-Performance" TargetMode="External" /><Relationship Type="http://schemas.openxmlformats.org/officeDocument/2006/relationships/hyperlink" Id="rId45" Target="https://quip-amazon.com/GkMhANNFpn7z" TargetMode="External" /><Relationship Type="http://schemas.openxmlformats.org/officeDocument/2006/relationships/hyperlink" Id="rId44" Target="https://quip-amazon.com/IAJ9AAZJsDL" TargetMode="External" /><Relationship Type="http://schemas.openxmlformats.org/officeDocument/2006/relationships/hyperlink" Id="rId43" Target="https://quip-amazon.com/JMZ9AAput1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2026-04-14T19:17:09Z</dcterms:created>
  <dcterms:modified xsi:type="dcterms:W3CDTF">2026-04-14T19:17:09Z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