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rPr>
          <w:b w:val="1"/>
          <w:bCs w:val="1"/>
        </w:rPr>
      </w:pPr>
      <w:r w:rsidDel="00000000" w:rsidR="00000000" w:rsidRPr="00000000">
        <w:rPr>
          <w:b w:val="1"/>
          <w:bCs w:val="1"/>
          <w:sz w:val="24"/>
          <w:szCs w:val="24"/>
        </w:rPr>
        <mc:AlternateContent>
          <mc:Choice Requires="wpg">
            <w:drawing>
              <wp:inline distB="0" distT="0" distL="0" distR="0">
                <wp:extent cx="9267825" cy="466725"/>
                <wp:effectExtent b="0" l="0" r="0" t="0"/>
                <wp:docPr id="1" name=""/>
                <a:graphic>
                  <a:graphicData uri="http://schemas.microsoft.com/office/word/2010/wordprocessingShape">
                    <wps:wsp>
                      <wps:cNvSpPr/>
                      <wps:cNvPr id="2" name="Shape 2"/>
                      <wps:spPr>
                        <a:xfrm>
                          <a:off x="716850" y="3551400"/>
                          <a:ext cx="9258300" cy="457200"/>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Example Lessons Learned doc by doronoz@</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1"/>
                                <w:smallCaps w:val="0"/>
                                <w:strike w:val="0"/>
                                <w:color w:val="000000"/>
                                <w:sz w:val="22"/>
                                <w:vertAlign w:val="baseline"/>
                              </w:rPr>
                            </w:r>
                            <w:r w:rsidDel="00000000" w:rsidR="00000000" w:rsidRPr="00000000">
                              <w:rPr>
                                <w:rFonts w:ascii="Calibri" w:cs="Calibri" w:eastAsia="Calibri" w:hAnsi="Calibri"/>
                                <w:b w:val="0"/>
                                <w:i w:val="1"/>
                                <w:smallCaps w:val="0"/>
                                <w:strike w:val="0"/>
                                <w:color w:val="000000"/>
                                <w:sz w:val="22"/>
                                <w:vertAlign w:val="baseline"/>
                              </w:rPr>
                              <w:t xml:space="preserve">The purpose of this template is to provide an example of a 1-pager lessons learned document.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1"/>
                                <w:smallCaps w:val="0"/>
                                <w:strike w:val="0"/>
                                <w:color w:val="000000"/>
                                <w:sz w:val="22"/>
                                <w:vertAlign w:val="baseline"/>
                              </w:rPr>
                            </w:r>
                          </w:p>
                        </w:txbxContent>
                      </wps:txbx>
                      <wps:bodyPr anchorCtr="0" anchor="t" bIns="45700" lIns="91425" spcFirstLastPara="1" rIns="91425" wrap="square" tIns="45700">
                        <a:noAutofit/>
                      </wps:bodyPr>
                    </wps:wsp>
                  </a:graphicData>
                </a:graphic>
              </wp:inline>
            </w:drawing>
          </mc:Choice>
          <mc:Fallback>
            <w:drawing>
              <wp:inline distB="0" distT="0" distL="0" distR="0">
                <wp:extent cx="9267825" cy="466725"/>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9267825" cy="4667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spacing w:before="240" w:lineRule="auto"/>
        <w:rPr/>
      </w:pPr>
      <w:r w:rsidDel="00000000" w:rsidR="00000000" w:rsidRPr="00000000">
        <w:rPr>
          <w:b w:val="1"/>
          <w:bCs w:val="1"/>
          <w:rtl w:val="0"/>
        </w:rPr>
        <w:t xml:space="preserve">Project</w:t>
      </w:r>
      <w:r w:rsidDel="00000000" w:rsidR="00000000" w:rsidRPr="00000000">
        <w:rPr>
          <w:rtl w:val="0"/>
        </w:rPr>
        <w:t xml:space="preserve">: Buy with Prime support documentation</w:t>
      </w:r>
    </w:p>
    <w:p w:rsidR="00000000" w:rsidDel="00000000" w:rsidP="00000000" w:rsidRDefault="00000000" w:rsidRPr="00000000" w14:paraId="00000003">
      <w:pPr>
        <w:rPr/>
      </w:pPr>
      <w:r w:rsidDel="00000000" w:rsidR="00000000" w:rsidRPr="00000000">
        <w:rPr>
          <w:b w:val="1"/>
          <w:bCs w:val="1"/>
          <w:rtl w:val="0"/>
        </w:rPr>
        <w:t xml:space="preserve">Goal</w:t>
      </w:r>
      <w:r w:rsidDel="00000000" w:rsidR="00000000" w:rsidRPr="00000000">
        <w:rPr>
          <w:rtl w:val="0"/>
        </w:rPr>
        <w:t xml:space="preserve">: Deliver documentation to support the implementation of the Buy with Prime button.</w:t>
      </w:r>
    </w:p>
    <w:p w:rsidR="00000000" w:rsidDel="00000000" w:rsidP="00000000" w:rsidRDefault="00000000" w:rsidRPr="00000000" w14:paraId="00000004">
      <w:pPr>
        <w:rPr/>
      </w:pPr>
      <w:r w:rsidDel="00000000" w:rsidR="00000000" w:rsidRPr="00000000">
        <w:rPr>
          <w:b w:val="1"/>
          <w:bCs w:val="1"/>
          <w:rtl w:val="0"/>
        </w:rPr>
        <w:t xml:space="preserve">Scope</w:t>
      </w:r>
      <w:r w:rsidDel="00000000" w:rsidR="00000000" w:rsidRPr="00000000">
        <w:rPr>
          <w:rtl w:val="0"/>
        </w:rPr>
        <w:t xml:space="preserve">: Audience for this documentation included the following parties: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Merchants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Help desk</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reps</w:t>
      </w:r>
    </w:p>
    <w:p w:rsidR="00000000" w:rsidDel="00000000" w:rsidP="00000000" w:rsidRDefault="00000000" w:rsidRPr="00000000" w14:paraId="00000008">
      <w:pPr>
        <w:spacing w:before="240" w:lineRule="auto"/>
        <w:rPr/>
      </w:pPr>
      <w:r w:rsidDel="00000000" w:rsidR="00000000" w:rsidRPr="00000000">
        <w:rPr>
          <w:b w:val="1"/>
          <w:bCs w:val="1"/>
          <w:rtl w:val="0"/>
        </w:rPr>
        <w:t xml:space="preserve">Lessons learned</w:t>
      </w:r>
      <w:r w:rsidDel="00000000" w:rsidR="00000000" w:rsidRPr="00000000">
        <w:rPr>
          <w:rtl w:val="0"/>
        </w:rPr>
        <w:t xml:space="preserve">:</w:t>
      </w:r>
    </w:p>
    <w:tbl>
      <w:tblPr>
        <w:tblStyle w:val="Table1"/>
        <w:tblW w:w="145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2460"/>
        <w:gridCol w:w="2501"/>
        <w:gridCol w:w="3686"/>
        <w:gridCol w:w="2126"/>
        <w:gridCol w:w="1418"/>
        <w:tblGridChange w:id="0">
          <w:tblGrid>
            <w:gridCol w:w="2405"/>
            <w:gridCol w:w="2460"/>
            <w:gridCol w:w="2501"/>
            <w:gridCol w:w="3686"/>
            <w:gridCol w:w="2126"/>
            <w:gridCol w:w="1418"/>
          </w:tblGrid>
        </w:tblGridChange>
      </w:tblGrid>
      <w:tr>
        <w:trPr>
          <w:cantSplit w:val="0"/>
          <w:tblHeader w:val="0"/>
        </w:trPr>
        <w:tc>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Issue/ Win</w:t>
            </w:r>
          </w:p>
        </w:tc>
        <w:tc>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Impact</w:t>
            </w:r>
          </w:p>
        </w:tc>
        <w:tc>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Recommendation</w:t>
            </w:r>
          </w:p>
        </w:tc>
        <w:tc>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Resources</w:t>
            </w:r>
          </w:p>
        </w:tc>
        <w:tc>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LP</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Issue: Users sent documentation requirements via email or slack</w:t>
            </w:r>
          </w:p>
        </w:tc>
        <w:tc>
          <w:tcPr/>
          <w:p w:rsidR="00000000" w:rsidDel="00000000" w:rsidP="00000000" w:rsidRDefault="00000000" w:rsidRPr="00000000" w14:paraId="00000010">
            <w:pPr>
              <w:rPr/>
            </w:pPr>
            <w:r w:rsidDel="00000000" w:rsidR="00000000" w:rsidRPr="00000000">
              <w:rPr>
                <w:rtl w:val="0"/>
              </w:rPr>
              <w:t xml:space="preserve">Some users ignored the automated ticket in take process to submit additions or updates to documentation.</w:t>
            </w:r>
          </w:p>
        </w:tc>
        <w:tc>
          <w:tcPr/>
          <w:p w:rsidR="00000000" w:rsidDel="00000000" w:rsidP="00000000" w:rsidRDefault="00000000" w:rsidRPr="00000000" w14:paraId="00000011">
            <w:pPr>
              <w:rPr/>
            </w:pPr>
            <w:r w:rsidDel="00000000" w:rsidR="00000000" w:rsidRPr="00000000">
              <w:rPr>
                <w:rtl w:val="0"/>
              </w:rPr>
              <w:t xml:space="preserve">This issue created confusion and delays.</w:t>
            </w:r>
          </w:p>
        </w:tc>
        <w:tc>
          <w:tcPr/>
          <w:p w:rsidR="00000000" w:rsidDel="00000000" w:rsidP="00000000" w:rsidRDefault="00000000" w:rsidRPr="00000000" w14:paraId="00000012">
            <w:pPr>
              <w:rPr/>
            </w:pPr>
            <w:r w:rsidDel="00000000" w:rsidR="00000000" w:rsidRPr="00000000">
              <w:rPr>
                <w:rtl w:val="0"/>
              </w:rPr>
              <w:t xml:space="preserve">Force all users to follow the automated in take process for documentation requirements.</w:t>
            </w:r>
          </w:p>
        </w:tc>
        <w:tc>
          <w:tcPr/>
          <w:p w:rsidR="00000000" w:rsidDel="00000000" w:rsidP="00000000" w:rsidRDefault="00000000" w:rsidRPr="00000000" w14:paraId="00000013">
            <w:pPr>
              <w:rPr/>
            </w:pPr>
            <w:r w:rsidDel="00000000" w:rsidR="00000000" w:rsidRPr="00000000">
              <w:rPr>
                <w:rtl w:val="0"/>
              </w:rPr>
              <w:t xml:space="preserve">Link to intake process: www….</w:t>
            </w:r>
          </w:p>
        </w:tc>
        <w:tc>
          <w:tcPr/>
          <w:p w:rsidR="00000000" w:rsidDel="00000000" w:rsidP="00000000" w:rsidRDefault="00000000" w:rsidRPr="00000000" w14:paraId="00000014">
            <w:pPr>
              <w:rPr/>
            </w:pPr>
            <w:r w:rsidDel="00000000" w:rsidR="00000000" w:rsidRPr="00000000">
              <w:rPr>
                <w:rtl w:val="0"/>
              </w:rPr>
              <w:t xml:space="preserve">High standards</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Issue: Duplicate content was created in separate documentation platforms.</w:t>
            </w:r>
          </w:p>
        </w:tc>
        <w:tc>
          <w:tcPr/>
          <w:p w:rsidR="00000000" w:rsidDel="00000000" w:rsidP="00000000" w:rsidRDefault="00000000" w:rsidRPr="00000000" w14:paraId="00000016">
            <w:pPr>
              <w:rPr/>
            </w:pPr>
            <w:r w:rsidDel="00000000" w:rsidR="00000000" w:rsidRPr="00000000">
              <w:rPr>
                <w:rtl w:val="0"/>
              </w:rPr>
              <w:t xml:space="preserve">Some content was initially duplicated in Oxygen and Adobe Experience Manager.</w:t>
            </w:r>
          </w:p>
        </w:tc>
        <w:tc>
          <w:tcPr/>
          <w:p w:rsidR="00000000" w:rsidDel="00000000" w:rsidP="00000000" w:rsidRDefault="00000000" w:rsidRPr="00000000" w14:paraId="00000017">
            <w:pPr>
              <w:rPr/>
            </w:pPr>
            <w:r w:rsidDel="00000000" w:rsidR="00000000" w:rsidRPr="00000000">
              <w:rPr>
                <w:rtl w:val="0"/>
              </w:rPr>
              <w:t xml:space="preserve">This issue created extra maintenance and confusion.</w:t>
            </w:r>
          </w:p>
        </w:tc>
        <w:tc>
          <w:tcPr/>
          <w:p w:rsidR="00000000" w:rsidDel="00000000" w:rsidP="00000000" w:rsidRDefault="00000000" w:rsidRPr="00000000" w14:paraId="00000018">
            <w:pPr>
              <w:rPr/>
            </w:pPr>
            <w:r w:rsidDel="00000000" w:rsidR="00000000" w:rsidRPr="00000000">
              <w:rPr>
                <w:rtl w:val="0"/>
              </w:rPr>
              <w:t xml:space="preserve">Identify the source platform for each type of documentation. Then create anchor links in the source platform to direct other platforms to the single source content.</w:t>
            </w:r>
          </w:p>
        </w:tc>
        <w:tc>
          <w:tcPr/>
          <w:p w:rsidR="00000000" w:rsidDel="00000000" w:rsidP="00000000" w:rsidRDefault="00000000" w:rsidRPr="00000000" w14:paraId="00000019">
            <w:pPr>
              <w:rPr/>
            </w:pPr>
            <w:r w:rsidDel="00000000" w:rsidR="00000000" w:rsidRPr="00000000">
              <w:rPr>
                <w:rtl w:val="0"/>
              </w:rPr>
              <w:t xml:space="preserve">Link to instructions on how to create anchor links.: www…</w:t>
            </w:r>
          </w:p>
        </w:tc>
        <w:tc>
          <w:tcPr/>
          <w:p w:rsidR="00000000" w:rsidDel="00000000" w:rsidP="00000000" w:rsidRDefault="00000000" w:rsidRPr="00000000" w14:paraId="0000001A">
            <w:pPr>
              <w:rPr/>
            </w:pPr>
            <w:r w:rsidDel="00000000" w:rsidR="00000000" w:rsidRPr="00000000">
              <w:rPr>
                <w:rtl w:val="0"/>
              </w:rPr>
              <w:t xml:space="preserve">Simplify and innovate</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Win: Content alignment to Amazon voice, tone and style.</w:t>
            </w:r>
          </w:p>
        </w:tc>
        <w:tc>
          <w:tcPr/>
          <w:p w:rsidR="00000000" w:rsidDel="00000000" w:rsidP="00000000" w:rsidRDefault="00000000" w:rsidRPr="00000000" w14:paraId="0000001C">
            <w:pPr>
              <w:rPr/>
            </w:pPr>
            <w:r w:rsidDel="00000000" w:rsidR="00000000" w:rsidRPr="00000000">
              <w:rPr>
                <w:rtl w:val="0"/>
              </w:rPr>
              <w:t xml:space="preserve">To maintain the quality of documentation all writers used the same automated quality content tool (Scrappy)</w:t>
            </w:r>
          </w:p>
        </w:tc>
        <w:tc>
          <w:tcPr/>
          <w:p w:rsidR="00000000" w:rsidDel="00000000" w:rsidP="00000000" w:rsidRDefault="00000000" w:rsidRPr="00000000" w14:paraId="0000001D">
            <w:pPr>
              <w:rPr/>
            </w:pPr>
            <w:r w:rsidDel="00000000" w:rsidR="00000000" w:rsidRPr="00000000">
              <w:rPr>
                <w:rtl w:val="0"/>
              </w:rPr>
              <w:t xml:space="preserve">The use of the Scrappy resulted in consistency of our documentation despite the different platforms. </w:t>
            </w:r>
          </w:p>
        </w:tc>
        <w:tc>
          <w:tcPr/>
          <w:p w:rsidR="00000000" w:rsidDel="00000000" w:rsidP="00000000" w:rsidRDefault="00000000" w:rsidRPr="00000000" w14:paraId="0000001E">
            <w:pPr>
              <w:rPr/>
            </w:pPr>
            <w:r w:rsidDel="00000000" w:rsidR="00000000" w:rsidRPr="00000000">
              <w:rPr>
                <w:rtl w:val="0"/>
              </w:rPr>
              <w:t xml:space="preserve">Enforce the use of Scrappy to align content to Amazon's style, voice and tone.</w:t>
            </w:r>
          </w:p>
        </w:tc>
        <w:tc>
          <w:tcPr/>
          <w:p w:rsidR="00000000" w:rsidDel="00000000" w:rsidP="00000000" w:rsidRDefault="00000000" w:rsidRPr="00000000" w14:paraId="0000001F">
            <w:pPr>
              <w:rPr/>
            </w:pPr>
            <w:r w:rsidDel="00000000" w:rsidR="00000000" w:rsidRPr="00000000">
              <w:rPr>
                <w:rtl w:val="0"/>
              </w:rPr>
              <w:t xml:space="preserve">Link to Scrappy: </w:t>
            </w:r>
            <w:r w:rsidDel="00000000" w:rsidR="00000000" w:rsidRPr="00000000">
              <w:rPr>
                <w:i w:val="1"/>
                <w:iCs w:val="1"/>
                <w:sz w:val="18"/>
                <w:szCs w:val="18"/>
                <w:rtl w:val="0"/>
              </w:rPr>
              <w:t xml:space="preserve">https://w.amazon.com/bin/view/ScrappyMacro</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Customer obsession</w:t>
            </w:r>
          </w:p>
        </w:tc>
      </w:tr>
    </w:tbl>
    <w:p w:rsidR="00000000" w:rsidDel="00000000" w:rsidP="00000000" w:rsidRDefault="00000000" w:rsidRPr="00000000" w14:paraId="00000021">
      <w:pPr>
        <w:spacing w:before="240" w:lineRule="auto"/>
        <w:rPr/>
      </w:pPr>
      <w:r w:rsidDel="00000000" w:rsidR="00000000" w:rsidRPr="00000000">
        <w:rPr>
          <w:b w:val="1"/>
          <w:bCs w:val="1"/>
          <w:rtl w:val="0"/>
        </w:rPr>
        <w:t xml:space="preserve">Conclusion</w:t>
      </w:r>
      <w:r w:rsidDel="00000000" w:rsidR="00000000" w:rsidRPr="00000000">
        <w:rPr>
          <w:rtl w:val="0"/>
        </w:rPr>
        <w:t xml:space="preserve">:  Delivering documentation in multiple platforms is challenging. However, taking the time to prepare training guides for each platform reduces the time that writers take to adopt each platform. Aligning content with the use of an automated tool like Scrappy helps to deliver a consistent message to our customers. Overall planning to avoid duplicates increases documentation quality.</w:t>
        <w:tab/>
      </w:r>
    </w:p>
    <w:sectPr>
      <w:headerReference r:id="rId7" w:type="default"/>
      <w:footerReference r:id="rId8" w:type="default"/>
      <w:pgSz w:h="12240" w:w="15840" w:orient="landscape"/>
      <w:pgMar w:bottom="720" w:top="720" w:left="720" w:right="720" w:header="720"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ab/>
      <w:tab/>
      <w:tab/>
      <w:tab/>
      <w:tab/>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August 2022 -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Lessons learned for Buy with Prime support documentation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