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rPr>
          <w:b w:val="1"/>
          <w:bCs w:val="1"/>
        </w:rPr>
      </w:pPr>
      <w:r w:rsidDel="00000000" w:rsidR="00000000" w:rsidRPr="00000000">
        <w:rPr>
          <w:rtl w:val="0"/>
        </w:rPr>
      </w:r>
    </w:p>
    <w:p w:rsidR="00000000" w:rsidDel="00000000" w:rsidP="00000000" w:rsidRDefault="00000000" w:rsidRPr="00000000" w14:paraId="00000002">
      <w:pPr>
        <w:spacing w:after="280" w:before="280" w:line="240" w:lineRule="auto"/>
        <w:rPr/>
      </w:pPr>
      <w:r w:rsidDel="00000000" w:rsidR="00000000" w:rsidRPr="00000000">
        <w:rPr>
          <w:b w:val="1"/>
          <w:bCs w:val="1"/>
          <w:rtl w:val="0"/>
        </w:rPr>
        <w:t xml:space="preserve">Note:</w:t>
      </w:r>
      <w:r w:rsidDel="00000000" w:rsidR="00000000" w:rsidRPr="00000000">
        <w:rPr>
          <w:rtl w:val="0"/>
        </w:rPr>
        <w:t xml:space="preserve"> This document was an off-cycle request for additional headcount. Three VP leaders in Finance funded 15 HC as a result. The leaders appreciated that the doc broke down various investment areas and provided and expected rate of return on investment to make the decision easier, while also justifying why the team couldn’t do the work from available funding. </w:t>
      </w:r>
    </w:p>
    <w:p w:rsidR="00000000" w:rsidDel="00000000" w:rsidP="00000000" w:rsidRDefault="00000000" w:rsidRPr="00000000" w14:paraId="00000003">
      <w:pPr>
        <w:spacing w:after="280" w:before="280" w:line="240" w:lineRule="auto"/>
        <w:rPr/>
      </w:pPr>
      <w:r w:rsidDel="00000000" w:rsidR="00000000" w:rsidRPr="00000000">
        <w:rPr>
          <w:b w:val="1"/>
          <w:bCs w:val="1"/>
          <w:rtl w:val="0"/>
        </w:rPr>
        <w:t xml:space="preserve">Doc Ninja Thoughts:</w:t>
      </w:r>
      <w:r w:rsidDel="00000000" w:rsidR="00000000" w:rsidRPr="00000000">
        <w:rPr>
          <w:rtl w:val="0"/>
        </w:rPr>
      </w:r>
    </w:p>
    <w:p w:rsidR="00000000" w:rsidDel="00000000" w:rsidP="00000000" w:rsidRDefault="00000000" w:rsidRPr="00000000" w14:paraId="00000004">
      <w:pPr>
        <w:numPr>
          <w:ilvl w:val="0"/>
          <w:numId w:val="6"/>
        </w:numPr>
        <w:spacing w:after="0" w:before="280" w:line="240" w:lineRule="auto"/>
        <w:ind w:left="720" w:hanging="360"/>
        <w:rPr/>
      </w:pPr>
      <w:r w:rsidDel="00000000" w:rsidR="00000000" w:rsidRPr="00000000">
        <w:rPr>
          <w:rtl w:val="0"/>
        </w:rPr>
        <w:t xml:space="preserve">What did the doc do well? </w:t>
      </w:r>
    </w:p>
    <w:p w:rsidR="00000000" w:rsidDel="00000000" w:rsidP="00000000" w:rsidRDefault="00000000" w:rsidRPr="00000000" w14:paraId="00000005">
      <w:pPr>
        <w:numPr>
          <w:ilvl w:val="1"/>
          <w:numId w:val="6"/>
        </w:numPr>
        <w:spacing w:after="0" w:before="0" w:line="240" w:lineRule="auto"/>
        <w:ind w:left="1440" w:hanging="360"/>
        <w:rPr/>
      </w:pPr>
      <w:r w:rsidDel="00000000" w:rsidR="00000000" w:rsidRPr="00000000">
        <w:rPr>
          <w:rtl w:val="0"/>
        </w:rPr>
        <w:t xml:space="preserve">The author organizes the content clearly and consistently throughout the document. </w:t>
      </w:r>
    </w:p>
    <w:p w:rsidR="00000000" w:rsidDel="00000000" w:rsidP="00000000" w:rsidRDefault="00000000" w:rsidRPr="00000000" w14:paraId="00000006">
      <w:pPr>
        <w:numPr>
          <w:ilvl w:val="1"/>
          <w:numId w:val="6"/>
        </w:numPr>
        <w:spacing w:after="0" w:before="0" w:line="240" w:lineRule="auto"/>
        <w:ind w:left="1440" w:hanging="360"/>
        <w:rPr/>
      </w:pPr>
      <w:r w:rsidDel="00000000" w:rsidR="00000000" w:rsidRPr="00000000">
        <w:rPr>
          <w:rtl w:val="0"/>
        </w:rPr>
        <w:t xml:space="preserve">The author uses data to clearly define the headcount funded for each project and the rate of return on investing in the headcount. Each project has clear next steps with due dates and proposed 2020 goals. </w:t>
      </w:r>
    </w:p>
    <w:p w:rsidR="00000000" w:rsidDel="00000000" w:rsidP="00000000" w:rsidRDefault="00000000" w:rsidRPr="00000000" w14:paraId="00000007">
      <w:pPr>
        <w:numPr>
          <w:ilvl w:val="0"/>
          <w:numId w:val="6"/>
        </w:numPr>
        <w:spacing w:after="0" w:before="0" w:line="240" w:lineRule="auto"/>
        <w:ind w:left="720" w:hanging="360"/>
        <w:rPr/>
      </w:pPr>
      <w:r w:rsidDel="00000000" w:rsidR="00000000" w:rsidRPr="00000000">
        <w:rPr>
          <w:rtl w:val="0"/>
        </w:rPr>
        <w:t xml:space="preserve">Where could the doc develop further?</w:t>
      </w:r>
    </w:p>
    <w:p w:rsidR="00000000" w:rsidDel="00000000" w:rsidP="00000000" w:rsidRDefault="00000000" w:rsidRPr="00000000" w14:paraId="00000008">
      <w:pPr>
        <w:numPr>
          <w:ilvl w:val="1"/>
          <w:numId w:val="6"/>
        </w:numPr>
        <w:spacing w:after="0" w:before="0" w:line="240" w:lineRule="auto"/>
        <w:ind w:left="1440" w:hanging="360"/>
        <w:rPr/>
      </w:pPr>
      <w:r w:rsidDel="00000000" w:rsidR="00000000" w:rsidRPr="00000000">
        <w:rPr>
          <w:rtl w:val="0"/>
        </w:rPr>
        <w:t xml:space="preserve">The doc assumes subject matter expertise from its readers, and may require more context for a broader audience (spelling out acronyms and jargon). </w:t>
      </w:r>
    </w:p>
    <w:p w:rsidR="00000000" w:rsidDel="00000000" w:rsidP="00000000" w:rsidRDefault="00000000" w:rsidRPr="00000000" w14:paraId="00000009">
      <w:pPr>
        <w:numPr>
          <w:ilvl w:val="1"/>
          <w:numId w:val="6"/>
        </w:numPr>
        <w:spacing w:after="280" w:before="0" w:line="240" w:lineRule="auto"/>
        <w:ind w:left="1440" w:hanging="360"/>
        <w:rPr/>
      </w:pPr>
      <w:r w:rsidDel="00000000" w:rsidR="00000000" w:rsidRPr="00000000">
        <w:rPr>
          <w:rtl w:val="0"/>
        </w:rPr>
        <w:t xml:space="preserve">The author can improve conciseness by keeping sentences under 25 words. Consider this 50-word sentence: “By Sep 2019, we will launch ASIN-level GMMs, a top requested feature which allows Vendor Managers to set individual margin targets for each ASIN (instead of a single margin target for all ASINs combined), preventing situations where a high margin ASIN covers up other ASINs below the minimum margin target.” We can break this up to say: “By Sep 2019, we will launch ASIN-level GMMs, a top-requested feature. GMMs allow Vendor Managers to set individual margin targets for each ASIN instead of a single margin target for all ASINs combined. This will prevent situations where a high-margin ASIN covers up other ASINs below the minimum margin target.”</w:t>
      </w:r>
    </w:p>
    <w:p w:rsidR="00000000" w:rsidDel="00000000" w:rsidP="00000000" w:rsidRDefault="00000000" w:rsidRPr="00000000" w14:paraId="0000000A">
      <w:pPr>
        <w:pBdr>
          <w:bottom w:color="000000" w:space="1" w:sz="4" w:val="single"/>
        </w:pBdr>
        <w:spacing w:line="276" w:lineRule="auto"/>
        <w:ind w:left="270" w:hanging="270"/>
        <w:rPr/>
      </w:pPr>
      <w:r w:rsidDel="00000000" w:rsidR="00000000" w:rsidRPr="00000000">
        <w:rPr>
          <w:rtl w:val="0"/>
        </w:rPr>
      </w:r>
    </w:p>
    <w:p w:rsidR="00000000" w:rsidDel="00000000" w:rsidP="00000000" w:rsidRDefault="00000000" w:rsidRPr="00000000" w14:paraId="0000000B">
      <w:pPr>
        <w:pBdr>
          <w:bottom w:color="000000" w:space="1" w:sz="4" w:val="single"/>
        </w:pBdr>
        <w:spacing w:line="276" w:lineRule="auto"/>
        <w:ind w:left="270" w:hanging="270"/>
        <w:rPr/>
      </w:pPr>
      <w:r w:rsidDel="00000000" w:rsidR="00000000" w:rsidRPr="00000000">
        <w:rPr>
          <w:rtl w:val="0"/>
        </w:rPr>
      </w:r>
    </w:p>
    <w:p w:rsidR="00000000" w:rsidDel="00000000" w:rsidP="00000000" w:rsidRDefault="00000000" w:rsidRPr="00000000" w14:paraId="0000000C">
      <w:pPr>
        <w:pBdr>
          <w:bottom w:color="000000" w:space="1" w:sz="4" w:val="single"/>
        </w:pBdr>
        <w:spacing w:line="276" w:lineRule="auto"/>
        <w:ind w:left="270" w:hanging="270"/>
        <w:rPr/>
      </w:pPr>
      <w:r w:rsidDel="00000000" w:rsidR="00000000" w:rsidRPr="00000000">
        <w:rPr>
          <w:rtl w:val="0"/>
        </w:rPr>
      </w:r>
    </w:p>
    <w:p w:rsidR="00000000" w:rsidDel="00000000" w:rsidP="00000000" w:rsidRDefault="00000000" w:rsidRPr="00000000" w14:paraId="0000000D">
      <w:pPr>
        <w:pBdr>
          <w:bottom w:color="000000" w:space="1" w:sz="4" w:val="single"/>
        </w:pBdr>
        <w:spacing w:line="276" w:lineRule="auto"/>
        <w:ind w:left="270" w:hanging="270"/>
        <w:rPr/>
      </w:pPr>
      <w:r w:rsidDel="00000000" w:rsidR="00000000" w:rsidRPr="00000000">
        <w:rPr>
          <w:rtl w:val="0"/>
        </w:rPr>
      </w:r>
    </w:p>
    <w:p w:rsidR="00000000" w:rsidDel="00000000" w:rsidP="00000000" w:rsidRDefault="00000000" w:rsidRPr="00000000" w14:paraId="0000000E">
      <w:pPr>
        <w:pBdr>
          <w:bottom w:color="000000" w:space="1" w:sz="4" w:val="single"/>
        </w:pBdr>
        <w:spacing w:line="276" w:lineRule="auto"/>
        <w:ind w:left="270" w:hanging="270"/>
        <w:rPr/>
      </w:pPr>
      <w:r w:rsidDel="00000000" w:rsidR="00000000" w:rsidRPr="00000000">
        <w:rPr>
          <w:rtl w:val="0"/>
        </w:rPr>
      </w:r>
    </w:p>
    <w:p w:rsidR="00000000" w:rsidDel="00000000" w:rsidP="00000000" w:rsidRDefault="00000000" w:rsidRPr="00000000" w14:paraId="0000000F">
      <w:pPr>
        <w:pBdr>
          <w:bottom w:color="000000" w:space="1" w:sz="4" w:val="single"/>
        </w:pBdr>
        <w:spacing w:line="276" w:lineRule="auto"/>
        <w:ind w:left="270" w:hanging="270"/>
        <w:rPr/>
      </w:pPr>
      <w:r w:rsidDel="00000000" w:rsidR="00000000" w:rsidRPr="00000000">
        <w:rPr>
          <w:rtl w:val="0"/>
        </w:rPr>
      </w:r>
    </w:p>
    <w:p w:rsidR="00000000" w:rsidDel="00000000" w:rsidP="00000000" w:rsidRDefault="00000000" w:rsidRPr="00000000" w14:paraId="00000010">
      <w:pPr>
        <w:pBdr>
          <w:bottom w:color="000000" w:space="1" w:sz="4" w:val="single"/>
        </w:pBdr>
        <w:spacing w:line="276" w:lineRule="auto"/>
        <w:ind w:left="270" w:hanging="270"/>
        <w:rPr/>
      </w:pPr>
      <w:r w:rsidDel="00000000" w:rsidR="00000000" w:rsidRPr="00000000">
        <w:rPr>
          <w:rtl w:val="0"/>
        </w:rPr>
      </w:r>
    </w:p>
    <w:p w:rsidR="00000000" w:rsidDel="00000000" w:rsidP="00000000" w:rsidRDefault="00000000" w:rsidRPr="00000000" w14:paraId="00000011">
      <w:pPr>
        <w:pBdr>
          <w:bottom w:color="000000" w:space="1" w:sz="4" w:val="single"/>
        </w:pBdr>
        <w:spacing w:line="276" w:lineRule="auto"/>
        <w:ind w:left="270" w:hanging="270"/>
        <w:rPr/>
      </w:pPr>
      <w:r w:rsidDel="00000000" w:rsidR="00000000" w:rsidRPr="00000000">
        <w:rPr>
          <w:rtl w:val="0"/>
        </w:rPr>
      </w:r>
    </w:p>
    <w:p w:rsidR="00000000" w:rsidDel="00000000" w:rsidP="00000000" w:rsidRDefault="00000000" w:rsidRPr="00000000" w14:paraId="00000012">
      <w:pPr>
        <w:pBdr>
          <w:bottom w:color="000000" w:space="1" w:sz="4" w:val="single"/>
        </w:pBdr>
        <w:spacing w:line="276" w:lineRule="auto"/>
        <w:ind w:left="270" w:hanging="270"/>
        <w:rPr/>
      </w:pPr>
      <w:r w:rsidDel="00000000" w:rsidR="00000000" w:rsidRPr="00000000">
        <w:rPr>
          <w:rtl w:val="0"/>
        </w:rPr>
      </w:r>
    </w:p>
    <w:p w:rsidR="00000000" w:rsidDel="00000000" w:rsidP="00000000" w:rsidRDefault="00000000" w:rsidRPr="00000000" w14:paraId="00000013">
      <w:pPr>
        <w:pBdr>
          <w:bottom w:color="000000" w:space="1" w:sz="4" w:val="single"/>
        </w:pBdr>
        <w:spacing w:line="276" w:lineRule="auto"/>
        <w:ind w:left="270" w:hanging="270"/>
        <w:rPr/>
      </w:pPr>
      <w:r w:rsidDel="00000000" w:rsidR="00000000" w:rsidRPr="00000000">
        <w:rPr>
          <w:rtl w:val="0"/>
        </w:rPr>
      </w:r>
    </w:p>
    <w:p w:rsidR="00000000" w:rsidDel="00000000" w:rsidP="00000000" w:rsidRDefault="00000000" w:rsidRPr="00000000" w14:paraId="00000014">
      <w:pPr>
        <w:pBdr>
          <w:bottom w:color="000000" w:space="1" w:sz="4" w:val="single"/>
        </w:pBdr>
        <w:spacing w:line="276" w:lineRule="auto"/>
        <w:ind w:left="270" w:hanging="270"/>
        <w:rPr/>
      </w:pPr>
      <w:r w:rsidDel="00000000" w:rsidR="00000000" w:rsidRPr="00000000">
        <w:rPr>
          <w:rtl w:val="0"/>
        </w:rPr>
      </w:r>
    </w:p>
    <w:p w:rsidR="00000000" w:rsidDel="00000000" w:rsidP="00000000" w:rsidRDefault="00000000" w:rsidRPr="00000000" w14:paraId="00000015">
      <w:pPr>
        <w:pBdr>
          <w:bottom w:color="000000" w:space="1" w:sz="4" w:val="single"/>
        </w:pBdr>
        <w:spacing w:line="276" w:lineRule="auto"/>
        <w:ind w:left="270" w:hanging="270"/>
        <w:rPr/>
      </w:pPr>
      <w:r w:rsidDel="00000000" w:rsidR="00000000" w:rsidRPr="00000000">
        <w:rPr>
          <w:rtl w:val="0"/>
        </w:rPr>
      </w:r>
    </w:p>
    <w:p w:rsidR="00000000" w:rsidDel="00000000" w:rsidP="00000000" w:rsidRDefault="00000000" w:rsidRPr="00000000" w14:paraId="00000016">
      <w:pPr>
        <w:pBdr>
          <w:bottom w:color="000000" w:space="1" w:sz="4" w:val="single"/>
        </w:pBdr>
        <w:spacing w:line="276" w:lineRule="auto"/>
        <w:ind w:left="270" w:hanging="270"/>
        <w:rPr/>
      </w:pPr>
      <w:r w:rsidDel="00000000" w:rsidR="00000000" w:rsidRPr="00000000">
        <w:rPr>
          <w:rtl w:val="0"/>
        </w:rPr>
      </w:r>
    </w:p>
    <w:p w:rsidR="00000000" w:rsidDel="00000000" w:rsidP="00000000" w:rsidRDefault="00000000" w:rsidRPr="00000000" w14:paraId="00000017">
      <w:pPr>
        <w:pBdr>
          <w:bottom w:color="000000" w:space="1" w:sz="4" w:val="single"/>
        </w:pBdr>
        <w:spacing w:line="276" w:lineRule="auto"/>
        <w:ind w:left="270" w:hanging="270"/>
        <w:rPr/>
      </w:pPr>
      <w:r w:rsidDel="00000000" w:rsidR="00000000" w:rsidRPr="00000000">
        <w:rPr>
          <w:rtl w:val="0"/>
        </w:rPr>
      </w:r>
    </w:p>
    <w:p w:rsidR="00000000" w:rsidDel="00000000" w:rsidP="00000000" w:rsidRDefault="00000000" w:rsidRPr="00000000" w14:paraId="00000018">
      <w:pPr>
        <w:pBdr>
          <w:bottom w:color="000000" w:space="1" w:sz="4" w:val="single"/>
        </w:pBdr>
        <w:spacing w:line="276" w:lineRule="auto"/>
        <w:ind w:left="270" w:hanging="270"/>
        <w:rPr/>
      </w:pPr>
      <w:r w:rsidDel="00000000" w:rsidR="00000000" w:rsidRPr="00000000">
        <w:rPr>
          <w:rtl w:val="0"/>
        </w:rPr>
      </w:r>
    </w:p>
    <w:p w:rsidR="00000000" w:rsidDel="00000000" w:rsidP="00000000" w:rsidRDefault="00000000" w:rsidRPr="00000000" w14:paraId="00000019">
      <w:pPr>
        <w:pBdr>
          <w:bottom w:color="000000" w:space="1" w:sz="4" w:val="single"/>
        </w:pBdr>
        <w:spacing w:line="276" w:lineRule="auto"/>
        <w:ind w:left="270" w:hanging="270"/>
        <w:rPr/>
      </w:pPr>
      <w:bookmarkStart w:colFirst="0" w:colLast="0" w:name="_gjdgxs" w:id="0"/>
      <w:bookmarkEnd w:id="0"/>
      <w:r w:rsidDel="00000000" w:rsidR="00000000" w:rsidRPr="00000000">
        <w:rPr>
          <w:rtl w:val="0"/>
        </w:rPr>
      </w:r>
    </w:p>
    <w:p w:rsidR="00000000" w:rsidDel="00000000" w:rsidP="00000000" w:rsidRDefault="00000000" w:rsidRPr="00000000" w14:paraId="0000001A">
      <w:pPr>
        <w:pStyle w:val="Heading1"/>
        <w:numPr>
          <w:ilvl w:val="0"/>
          <w:numId w:val="7"/>
        </w:numPr>
        <w:pBdr>
          <w:bottom w:color="000000" w:space="1" w:sz="4" w:val="single"/>
        </w:pBdr>
        <w:spacing w:before="0" w:line="276" w:lineRule="auto"/>
        <w:ind w:left="270" w:hanging="270"/>
        <w:rPr/>
      </w:pPr>
      <w:r w:rsidDel="00000000" w:rsidR="00000000" w:rsidRPr="00000000">
        <w:rPr>
          <w:rFonts w:ascii="Calibri" w:cs="Calibri" w:eastAsia="Calibri" w:hAnsi="Calibri"/>
          <w:b w:val="1"/>
          <w:bCs w:val="1"/>
          <w:color w:val="000000"/>
          <w:sz w:val="20"/>
          <w:szCs w:val="20"/>
          <w:rtl w:val="0"/>
        </w:rPr>
        <w:t xml:space="preserve">Background</w:t>
      </w:r>
    </w:p>
    <w:p w:rsidR="00000000" w:rsidDel="00000000" w:rsidP="00000000" w:rsidRDefault="00000000" w:rsidRPr="00000000" w14:paraId="0000001B">
      <w:pPr>
        <w:spacing w:line="276" w:lineRule="auto"/>
        <w:jc w:val="both"/>
        <w:rPr/>
      </w:pPr>
      <w:r w:rsidDel="00000000" w:rsidR="00000000" w:rsidRPr="00000000">
        <w:rPr>
          <w:rtl w:val="0"/>
        </w:rPr>
        <w:t xml:space="preserve">On 6/18, FinOps reviewed a document with Finance leadership on the key defects that are present in Contra-CoGS and their impact on FCF, financial controllership, and operational burden. We discussed that most of those defects are longstanding systemic limitations in the Contra-CoGS architecture that need a dedicated investment. The document is the follow up to the meeting and outlines the investments required to fix the defects, their business impact, and the additional funding required. </w:t>
      </w:r>
    </w:p>
    <w:p w:rsidR="00000000" w:rsidDel="00000000" w:rsidP="00000000" w:rsidRDefault="00000000" w:rsidRPr="00000000" w14:paraId="0000001C">
      <w:pPr>
        <w:spacing w:after="0" w:line="276" w:lineRule="auto"/>
        <w:jc w:val="both"/>
        <w:rPr/>
      </w:pPr>
      <w:r w:rsidDel="00000000" w:rsidR="00000000" w:rsidRPr="00000000">
        <w:rPr>
          <w:rtl w:val="0"/>
        </w:rPr>
        <w:t xml:space="preserve">In summary, the plan outlined requires 29 additional HC and will generate annualized $105MM FCF, improve financial accuracy and controllership of our system, and accelerate business launches. We expect this investment to yield a 10.1X rate of return.</w:t>
      </w:r>
    </w:p>
    <w:p w:rsidR="00000000" w:rsidDel="00000000" w:rsidP="00000000" w:rsidRDefault="00000000" w:rsidRPr="00000000" w14:paraId="0000001D">
      <w:pPr>
        <w:pStyle w:val="Heading1"/>
        <w:numPr>
          <w:ilvl w:val="0"/>
          <w:numId w:val="7"/>
        </w:numPr>
        <w:pBdr>
          <w:bottom w:color="000000" w:space="1" w:sz="4" w:val="single"/>
        </w:pBdr>
        <w:spacing w:line="276" w:lineRule="auto"/>
        <w:ind w:left="270" w:hanging="270"/>
        <w:rPr/>
      </w:pPr>
      <w:r w:rsidDel="00000000" w:rsidR="00000000" w:rsidRPr="00000000">
        <w:rPr>
          <w:rFonts w:ascii="Calibri" w:cs="Calibri" w:eastAsia="Calibri" w:hAnsi="Calibri"/>
          <w:b w:val="1"/>
          <w:bCs w:val="1"/>
          <w:color w:val="000000"/>
          <w:sz w:val="20"/>
          <w:szCs w:val="20"/>
          <w:rtl w:val="0"/>
        </w:rPr>
        <w:t xml:space="preserve">Overview of 2019 Performance</w:t>
        <w:tab/>
        <w:t xml:space="preserve">  </w:t>
        <w:tab/>
        <w:tab/>
        <w:tab/>
        <w:tab/>
        <w:tab/>
        <w:tab/>
        <w:tab/>
        <w:t xml:space="preserve">   </w:t>
      </w:r>
    </w:p>
    <w:p w:rsidR="00000000" w:rsidDel="00000000" w:rsidP="00000000" w:rsidRDefault="00000000" w:rsidRPr="00000000" w14:paraId="0000001E">
      <w:pPr>
        <w:spacing w:line="276" w:lineRule="auto"/>
        <w:jc w:val="both"/>
        <w:rPr/>
      </w:pPr>
      <w:r w:rsidDel="00000000" w:rsidR="00000000" w:rsidRPr="00000000">
        <w:rPr>
          <w:rtl w:val="0"/>
        </w:rPr>
        <w:t xml:space="preserve">In H1 2019, Contra-CoGS recorded 527K (+4.0% YoY) unique vendor funding agreements and billed $7.0B (+19.6% YoY) to our vendors through 1.3MM (+15.5% YoY) invoices. We are on track to bill $20.0B (+17.4% YoY) in vendor funding by year-end, in line with global Retail growth. In addition, we reduced stuck invoices in EU from €37.5MM to €6MM (down 84% YoY, green to year-end goal of 90% reduction) and we are on track to generate $41MM incremental FCF by year-end through automated Guaranteed Minimum Margin (GMM) agreements in US. </w:t>
      </w:r>
    </w:p>
    <w:p w:rsidR="00000000" w:rsidDel="00000000" w:rsidP="00000000" w:rsidRDefault="00000000" w:rsidRPr="00000000" w14:paraId="0000001F">
      <w:pPr>
        <w:spacing w:line="276" w:lineRule="auto"/>
        <w:jc w:val="both"/>
        <w:rPr/>
      </w:pPr>
      <w:r w:rsidDel="00000000" w:rsidR="00000000" w:rsidRPr="00000000">
        <w:rPr>
          <w:rtl w:val="0"/>
        </w:rPr>
        <w:t xml:space="preserve">However, despite improvements in Contra-CoGS systems, we are not satisfied with our progress: (1) we continue to experience frequent financial errors ($110MM YTD) that require manual effort across Contra-CoGS, FinOps and Accounting organizations for correction, (2) Vendor Managers often make mistakes during agreement setup requiring us to engage Retail Finance and external audit teams to recover missed vendor funding, and (3) missing integration with tax systems requires us to use FinOps resources to unblock stuck invoices manually. These systemic limitations originate from our legacy error prone technical architecture and an outdated agreement model that requires substantial manual input during agreement creation. While we have started work on our 3-year plan to replace our monolithic, batch-based technical architecture with a fully decoupled, event-driven architecture, we have made slow progress so far due to the large scope of the work involved and the need to reallocate resources towards late breaking compliance initiatives such as JP consumption tax, Razorbill, etc.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This document describes our 2020 plan to increase FCF, improve financial accuracy and controllership, and eliminate financial errors through the following initiatives:</w:t>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Reduce missed vendor funding (leakages) through simplified Contra-CoGS agreement setup, </w:t>
      </w:r>
    </w:p>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Improve financial accuracy and reduce errors developing a robust testing framework, migrating to an event driven architecture, and integrating with authoritative data sources,</w:t>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Increase profitability by launching Guaranteed minimum margin (GMM) agreements WW, and</w:t>
      </w:r>
    </w:p>
    <w:p w:rsidR="00000000" w:rsidDel="00000000" w:rsidP="00000000" w:rsidRDefault="00000000" w:rsidRPr="00000000" w14:paraId="000000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Increase SPS Finance controllership. </w:t>
      </w:r>
    </w:p>
    <w:p w:rsidR="00000000" w:rsidDel="00000000" w:rsidP="00000000" w:rsidRDefault="00000000" w:rsidRPr="00000000" w14:paraId="00000025">
      <w:pPr>
        <w:pStyle w:val="Heading1"/>
        <w:numPr>
          <w:ilvl w:val="0"/>
          <w:numId w:val="7"/>
        </w:numPr>
        <w:pBdr>
          <w:bottom w:color="000000" w:space="1" w:sz="4" w:val="single"/>
        </w:pBdr>
        <w:spacing w:line="276" w:lineRule="auto"/>
        <w:ind w:left="270" w:hanging="270"/>
        <w:rPr/>
      </w:pPr>
      <w:r w:rsidDel="00000000" w:rsidR="00000000" w:rsidRPr="00000000">
        <w:rPr>
          <w:rFonts w:ascii="Calibri" w:cs="Calibri" w:eastAsia="Calibri" w:hAnsi="Calibri"/>
          <w:b w:val="1"/>
          <w:bCs w:val="1"/>
          <w:color w:val="000000"/>
          <w:sz w:val="20"/>
          <w:szCs w:val="20"/>
          <w:rtl w:val="0"/>
        </w:rPr>
        <w:t xml:space="preserve">Reduce leakages through simplified Contra-CoGS agreements                                  </w:t>
      </w:r>
      <w:r w:rsidDel="00000000" w:rsidR="00000000" w:rsidRPr="00000000">
        <w:rPr>
          <w:rFonts w:ascii="Calibri" w:cs="Calibri" w:eastAsia="Calibri" w:hAnsi="Calibri"/>
          <w:i w:val="1"/>
          <w:iCs w:val="1"/>
          <w:color w:val="000000"/>
          <w:sz w:val="20"/>
          <w:szCs w:val="20"/>
          <w:rtl w:val="0"/>
        </w:rPr>
        <w:t xml:space="preserve">(2 FTE funded, 15 FTE unfunded; $90MM FCF)</w:t>
      </w:r>
    </w:p>
    <w:p w:rsidR="00000000" w:rsidDel="00000000" w:rsidP="00000000" w:rsidRDefault="00000000" w:rsidRPr="00000000" w14:paraId="00000026">
      <w:pPr>
        <w:spacing w:after="0" w:line="276" w:lineRule="auto"/>
        <w:rPr/>
      </w:pPr>
      <w:r w:rsidDel="00000000" w:rsidR="00000000" w:rsidRPr="00000000">
        <w:rPr>
          <w:rtl w:val="0"/>
        </w:rPr>
        <w:t xml:space="preserve">In 2019, 5K Vendor Managers WW will create 1.5MM agreements to manage their vendor funding (avg. 300 agreements per VM). These agreements are typically set up at the </w:t>
      </w:r>
      <w:r w:rsidDel="00000000" w:rsidR="00000000" w:rsidRPr="00000000">
        <w:rPr>
          <w:i w:val="1"/>
          <w:iCs w:val="1"/>
          <w:rtl w:val="0"/>
        </w:rPr>
        <w:t xml:space="preserve">vendor code x product group x date range</w:t>
      </w:r>
      <w:r w:rsidDel="00000000" w:rsidR="00000000" w:rsidRPr="00000000">
        <w:rPr>
          <w:rtl w:val="0"/>
        </w:rPr>
        <w:t xml:space="preserve"> granularity, which often leads Vendor Managers to make mistakes during the agreement set up such as missing vendor codes, product groups, or date ranges. Currently, we engage four audit teams that identify wrongfully built agreements where we have under-billed vendors and issue associated claims to those vendors. In 2019, we expect audit recoveries to yield upwards of $262MM</w:t>
      </w:r>
      <w:r w:rsidDel="00000000" w:rsidR="00000000" w:rsidRPr="00000000">
        <w:rPr>
          <w:vertAlign w:val="superscript"/>
        </w:rPr>
        <w:footnoteReference w:customMarkFollows="0" w:id="0"/>
      </w:r>
      <w:r w:rsidDel="00000000" w:rsidR="00000000" w:rsidRPr="00000000">
        <w:rPr>
          <w:rtl w:val="0"/>
        </w:rPr>
        <w:t xml:space="preserve"> in missed vendor funding with the bulk of the recoveries delayed until 2021 due to 18-24 month time lag of audits. In addition to bearing the cost of delayed cash flows (est. $40MM per year), we also pay auditors up to 14% of recovered amounts in commissions (est. $21MM per year). Further, since external auditors (who recover ~80% of all leakages) do not actually fix the wrongfully built agreements, Amazon pays external auditors for finding the same gaps again during next year’s audits. We consider leakages as a defect in our system as it costs Amazon in delayed cash flows and audit fees, understates profitability in the Contribution Profit (CP) system used by several automated decision making systems, and negatively affects the vendor experience by billing them for historical missed agreements. </w:t>
      </w:r>
    </w:p>
    <w:p w:rsidR="00000000" w:rsidDel="00000000" w:rsidP="00000000" w:rsidRDefault="00000000" w:rsidRPr="00000000" w14:paraId="00000027">
      <w:pPr>
        <w:widowControl w:val="0"/>
        <w:spacing w:after="0" w:before="240" w:line="276" w:lineRule="auto"/>
        <w:rPr/>
      </w:pPr>
      <w:r w:rsidDel="00000000" w:rsidR="00000000" w:rsidRPr="00000000">
        <w:rPr>
          <w:rtl w:val="0"/>
        </w:rPr>
        <w:t xml:space="preserve">In 2019, we reduced leakage by expanding the processing window for Customer Shipments Items (CSI) from 1 day to 5 days to capture shipments that are reported late in upstream systems. Since the launch in June, this initiative has reduced leakage by $3MM and we estimate an additional $15MM reduction by end of the year. </w:t>
      </w:r>
    </w:p>
    <w:p w:rsidR="00000000" w:rsidDel="00000000" w:rsidP="00000000" w:rsidRDefault="00000000" w:rsidRPr="00000000" w14:paraId="00000028">
      <w:pPr>
        <w:widowControl w:val="0"/>
        <w:spacing w:after="0" w:before="240" w:line="276" w:lineRule="auto"/>
        <w:rPr>
          <w:b w:val="1"/>
          <w:bCs w:val="1"/>
        </w:rPr>
      </w:pPr>
      <w:r w:rsidDel="00000000" w:rsidR="00000000" w:rsidRPr="00000000">
        <w:rPr>
          <w:rtl w:val="0"/>
        </w:rPr>
        <w:t xml:space="preserve">In 2020, we will fix the root cause of leakages – the need to create multiple, granular agreements. Our vision is to eliminate the manual work for Vendor Managers through smart defaults and automation. With this in mind, we will create a new agreement model that will require lesser input from Vendor Managers, drive standardization in agreement terms across vendors, and thus, lead to fewer instances of missed vendor funding.  </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Launch default rate cards to eliminate leakages [2 Funded; 14 HC, $82MM FCF] –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We will create a default rate card at the product group level to simplify Contra-CoGS agreement setup and management.  The default will consist of funding rates for the three most common agreements (Base Accrual, Damage Allowance, and Freight Allowance) at the product group level. For example, US Electronics will have a 10% default base accrual, 2% damage allowance and 2% freight allowance. The new default rate will be included as part of the vendor agreement that the vendor will need to sign as part of the onboarding process. For vendors who have negotiated custom rates, we will provide Vendor Managers the ability to setup custom agreements that override the default rate card. In case the default rates change, the system will automatically send the impacted vendors an updated contract. With the new agreement model, manual work is only required when Vendor Managers need to deviate from the default rates instead of creating and renewing agreements for each product in the vendor’s catalog. As a side benefit, these changes will eliminate the need for vendors to receive and review multiple agreements for each product group at various times during the year.</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To ensure vendors and Vendor Managers have full transparency to the agreement terms, we will enhance the Contra-CoGS experience and reporting to provide the view into vendor agreements aggregated across Base Accrual, Damage Allowance, and Freight Allowance. We will also develop an agreement ownership model to ensure the relevant business teams (not individuals) are notified for auditing custom agreements.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We have validated the proposal with tenured Vendor Managers in Retail and they agreed that the proposed solution will lead to fewer agreements, greater standardization in agreement terms across vendors, and thus, fewer instances of missed vendor funding. Additionally, we have also verified from our data that over 50% of agreements in key product groups adhere to standard terms. Going forward, we plan to socialize this initiative with additional Vendor Managers to ensure that we satisfy requirements of all product lines WW. By 10/30/2019, we will develop our final recommendation for default rate cards and review it with global retail leadership. </w:t>
      </w:r>
    </w:p>
    <w:p w:rsidR="00000000" w:rsidDel="00000000" w:rsidP="00000000" w:rsidRDefault="00000000" w:rsidRPr="00000000" w14:paraId="0000002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Integrate with authoritative data sources to prevent leakages [Unfunded; 1 HC, $8MM FCF] –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Currently, audit teams recover $40MM each year for missed quantities and for new purchase orders mistakenly issued with pre-promotion price. To eliminate the need for manual recovery via audits, we will integrate with authoritative data sources within SPS and SCOT and automate the collection of missed funding related to Price Protection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perscript"/>
        </w:rPr>
        <w:footnoteReference w:customMarkFollows="0" w:id="1"/>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agreements. In addition, we will also automate creation of 60% of Contra-CoGS agreements WW for collecting funding for vendor-funded deals and promotions eliminating leakages related to incorrectly applied promotions. </w:t>
      </w:r>
    </w:p>
    <w:p w:rsidR="00000000" w:rsidDel="00000000" w:rsidP="00000000" w:rsidRDefault="00000000" w:rsidRPr="00000000" w14:paraId="0000002D">
      <w:pPr>
        <w:spacing w:after="0" w:before="240" w:line="276" w:lineRule="auto"/>
        <w:jc w:val="both"/>
        <w:rPr>
          <w:b w:val="1"/>
          <w:bCs w:val="1"/>
        </w:rPr>
      </w:pPr>
      <w:r w:rsidDel="00000000" w:rsidR="00000000" w:rsidRPr="00000000">
        <w:rPr>
          <w:b w:val="1"/>
          <w:bCs w:val="1"/>
          <w:rtl w:val="0"/>
        </w:rPr>
        <w:t xml:space="preserve">Proposed 2020 Goals</w:t>
      </w:r>
    </w:p>
    <w:p w:rsidR="00000000" w:rsidDel="00000000" w:rsidP="00000000" w:rsidRDefault="00000000" w:rsidRPr="00000000" w14:paraId="0000002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[VP] Launch default rate cards for 100% of product groups WW by 12/31/2020. </w:t>
      </w:r>
    </w:p>
    <w:p w:rsidR="00000000" w:rsidDel="00000000" w:rsidP="00000000" w:rsidRDefault="00000000" w:rsidRPr="00000000" w14:paraId="0000002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[VP] Reduce expenditure for Contra-CoGS audit recovery from $XMM in 2019 to $YMM in 2020, a Z% reduction YoY.</w:t>
      </w:r>
    </w:p>
    <w:p w:rsidR="00000000" w:rsidDel="00000000" w:rsidP="00000000" w:rsidRDefault="00000000" w:rsidRPr="00000000" w14:paraId="00000030">
      <w:pPr>
        <w:pStyle w:val="Heading1"/>
        <w:numPr>
          <w:ilvl w:val="0"/>
          <w:numId w:val="7"/>
        </w:numPr>
        <w:pBdr>
          <w:bottom w:color="000000" w:space="1" w:sz="4" w:val="single"/>
        </w:pBdr>
        <w:spacing w:line="276" w:lineRule="auto"/>
        <w:ind w:left="270" w:hanging="270"/>
        <w:rPr/>
      </w:pPr>
      <w:r w:rsidDel="00000000" w:rsidR="00000000" w:rsidRPr="00000000">
        <w:rPr>
          <w:rFonts w:ascii="Calibri" w:cs="Calibri" w:eastAsia="Calibri" w:hAnsi="Calibri"/>
          <w:b w:val="1"/>
          <w:bCs w:val="1"/>
          <w:color w:val="000000"/>
          <w:sz w:val="20"/>
          <w:szCs w:val="20"/>
          <w:rtl w:val="0"/>
        </w:rPr>
        <w:t xml:space="preserve">Improve financial accuracy and reduce errors through technology improvements</w:t>
        <w:tab/>
      </w:r>
      <w:r w:rsidDel="00000000" w:rsidR="00000000" w:rsidRPr="00000000">
        <w:rPr>
          <w:rFonts w:ascii="Calibri" w:cs="Calibri" w:eastAsia="Calibri" w:hAnsi="Calibri"/>
          <w:i w:val="1"/>
          <w:iCs w:val="1"/>
          <w:color w:val="000000"/>
          <w:sz w:val="20"/>
          <w:szCs w:val="20"/>
          <w:rtl w:val="0"/>
        </w:rPr>
        <w:t xml:space="preserve">                (12 FTE funded; 5 FTE unfunded)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We build vendor trust by accurately charging Contra-CoGS owed to Amazon and fixing any errors before they impact the vendor. In 2019, we have had five Contra-CoGS errors resulting in $110MM in incorrect vendor funding and 90 days of manual effort spent in operational clean up across Contra-CoGS, FinOps, and Accounting. These errors were introduced as engineering teams launched new businesses and business use cases.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Currently, even simple projects require code changes across a monolithic codebase that lacks separation of business logic and introduce unnecessary risk to our system. In 2019, we began migrating Contra-CoGS from a monolithic, batch-based architecture to a fully decoupled, event-driven architecture that is less prone to errors. By Q4 2019, we will launch our event-driven booking system integration with USL (“Transactional Booking”) in EU and under validation in NA to improve the financial controllership. We will also launch a Transaction Store (WW) to eliminate situations where we miss or duplicate upstream transactional data, increasing the accuracy of our calculations.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 2020, we will improve the financial accuracy and reduce errors while accelerating time to market for new features for both host and away teams through the following initiatives:</w:t>
      </w:r>
    </w:p>
    <w:p w:rsidR="00000000" w:rsidDel="00000000" w:rsidP="00000000" w:rsidRDefault="00000000" w:rsidRPr="00000000" w14:paraId="0000003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Reduce errors by building a robust test environment [Funded] –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 2020, we will improve the testability of our systems to reduce our exposure to financial errors in the future. We will: (1) decouple legacy systems to enable testability and reduce change complexity, (2) build robust test environments, (3) create a curated test data set for use case validation, (4) build a data sampling solution for shadow validation at scale, and (5) achieve full CD automation for Contra-CoGS systems.</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Launch transactional booking WW to automate Contra-CoGS accounting [Funded] –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current process for recording (booking) Contra-CoGS to the Amazon financial statements is reliant on monthly batch processes through Oracle Financial Applications (OFA) and manual journal entries by Accounting. At month-end, Contra-CoGS creates Booking and What Goes Where reports for Accounting to manually upload the calculated Contra-CoGS for the month, and record the proper geography for cross-border transactions and inventory movements. The manual work requires ~10 hours of effort per marketplace, introduces controllership risk from manual input errors, and does not give Retail teams visibility into Contra-CoGS actuals throughout the month. In 2020, we will launch transactional booking in NA and expand it to remaining marketplaces WW. With this, we will remove the dependency on the batched reports for booking WW and remove a key blocker for the company-wide move to a daily P&amp;L.</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Reduce stuck invoices WW to reduce manually processed vendor billing [Funded by FinOps] –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Stuck invoices aka Limbo typically occurs when we are unable to locate tax information for the underlying transaction of an amount or when computed billing amounts do not match the expected amount (due to exchange rate discrepancy, missing shipments, and rounding errors). In 2019, we reduced limbo in EU by 84% YoY through targeted tax solutions for VAT-based issues. In 2020, we will broaden this effort to resolve Limbo in other geographies WW (AU, IN, SG etc.).</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Calculate real-time Contra-CoGS from authoritative data sources for improved timeliness and accuracy [Unfunded; 2 HC] –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Contra-CoGS is driven by 300+ daily batch data extracts from centralized Andes tables, which are frequently delayed. In H1 2019, we missed our SLA to supply Contra-CoGS data for closing general ledger period in 2 of 6 months due to data delays, requiring operational work on accounting teams as well as Contra-CoGS team to ensure that booking data flows in on time. In 2020, we will integrate authoritative upstream source systems for Contra-CoGS inputs to drive the calculation engine.</w:t>
      </w:r>
    </w:p>
    <w:p w:rsidR="00000000" w:rsidDel="00000000" w:rsidP="00000000" w:rsidRDefault="00000000" w:rsidRPr="00000000" w14:paraId="0000003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Build a single authoritative source for Contra-CoGS to improve financial accuracy and controllership [Unfunded; 3 HC] –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Currently transaction booking (used to book financial entries) and Contra-CoGS billing (used for accounts receivables) use different source system resulting in a lack of single authoritative source for the financial systems. This results in 10 person days across SDEs and Accounting to reconcile amounts between booking and billing systems each month and will prevent book close if issues are not remediated on time. We will migrate Contra-CoGS billing to leverage the source systems as transactional booking to improve financial accuracy and controllership and support the flexibility required by Amazon’s evolving business and ongoing global regulatory changes.</w:t>
      </w:r>
      <w:r w:rsidDel="00000000" w:rsidR="00000000" w:rsidRPr="00000000">
        <w:rPr>
          <w:rtl w:val="0"/>
        </w:rPr>
      </w:r>
    </w:p>
    <w:p w:rsidR="00000000" w:rsidDel="00000000" w:rsidP="00000000" w:rsidRDefault="00000000" w:rsidRPr="00000000" w14:paraId="00000039">
      <w:pPr>
        <w:tabs>
          <w:tab w:val="left" w:leader="none" w:pos="990"/>
        </w:tabs>
        <w:spacing w:after="0" w:line="276" w:lineRule="auto"/>
        <w:jc w:val="both"/>
        <w:rPr>
          <w:b w:val="1"/>
          <w:bCs w:val="1"/>
        </w:rPr>
      </w:pPr>
      <w:r w:rsidDel="00000000" w:rsidR="00000000" w:rsidRPr="00000000">
        <w:rPr>
          <w:rtl w:val="0"/>
        </w:rPr>
      </w:r>
    </w:p>
    <w:p w:rsidR="00000000" w:rsidDel="00000000" w:rsidP="00000000" w:rsidRDefault="00000000" w:rsidRPr="00000000" w14:paraId="0000003A">
      <w:pPr>
        <w:spacing w:after="0" w:line="276" w:lineRule="auto"/>
        <w:jc w:val="both"/>
        <w:rPr>
          <w:b w:val="1"/>
          <w:bCs w:val="1"/>
        </w:rPr>
      </w:pPr>
      <w:r w:rsidDel="00000000" w:rsidR="00000000" w:rsidRPr="00000000">
        <w:rPr>
          <w:b w:val="1"/>
          <w:bCs w:val="1"/>
          <w:rtl w:val="0"/>
        </w:rPr>
        <w:t xml:space="preserve">Proposed 2020 Goals</w:t>
      </w:r>
    </w:p>
    <w:p w:rsidR="00000000" w:rsidDel="00000000" w:rsidP="00000000" w:rsidRDefault="00000000" w:rsidRPr="00000000" w14:paraId="0000003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[VP] Reduce defective Contra-CoGS invoices from XX% TTM Dec-2019 to YY% TTM Dec-2020, an improvement of ZZ bps. </w:t>
      </w:r>
    </w:p>
    <w:p w:rsidR="00000000" w:rsidDel="00000000" w:rsidP="00000000" w:rsidRDefault="00000000" w:rsidRPr="00000000" w14:paraId="0000003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[Director] Achieve 99% of WW Contra-CoGS booked to the USL within 48 hours of related source system events by Dec 2020. </w:t>
      </w:r>
    </w:p>
    <w:p w:rsidR="00000000" w:rsidDel="00000000" w:rsidP="00000000" w:rsidRDefault="00000000" w:rsidRPr="00000000" w14:paraId="0000003D">
      <w:pPr>
        <w:pStyle w:val="Heading1"/>
        <w:numPr>
          <w:ilvl w:val="0"/>
          <w:numId w:val="7"/>
        </w:numPr>
        <w:pBdr>
          <w:bottom w:color="000000" w:space="1" w:sz="4" w:val="single"/>
        </w:pBdr>
        <w:spacing w:line="276" w:lineRule="auto"/>
        <w:ind w:left="270" w:hanging="270"/>
        <w:rPr/>
      </w:pPr>
      <w:r w:rsidDel="00000000" w:rsidR="00000000" w:rsidRPr="00000000">
        <w:rPr>
          <w:rFonts w:ascii="Calibri" w:cs="Calibri" w:eastAsia="Calibri" w:hAnsi="Calibri"/>
          <w:b w:val="1"/>
          <w:bCs w:val="1"/>
          <w:color w:val="000000"/>
          <w:sz w:val="20"/>
          <w:szCs w:val="20"/>
          <w:rtl w:val="0"/>
        </w:rPr>
        <w:t xml:space="preserve">Increase profitability by launching GMM agreements                           </w:t>
      </w:r>
      <w:r w:rsidDel="00000000" w:rsidR="00000000" w:rsidRPr="00000000">
        <w:rPr>
          <w:rFonts w:ascii="Calibri" w:cs="Calibri" w:eastAsia="Calibri" w:hAnsi="Calibri"/>
          <w:i w:val="1"/>
          <w:iCs w:val="1"/>
          <w:color w:val="000000"/>
          <w:sz w:val="20"/>
          <w:szCs w:val="20"/>
          <w:rtl w:val="0"/>
        </w:rPr>
        <w:t xml:space="preserve">(2 FTE funded, $20MM FCF; 4 FTE unfunded, $15MM FCF)</w:t>
      </w:r>
      <w:r w:rsidDel="00000000" w:rsidR="00000000" w:rsidRPr="00000000">
        <w:rPr>
          <w:rtl w:val="0"/>
        </w:rPr>
      </w:r>
    </w:p>
    <w:p w:rsidR="00000000" w:rsidDel="00000000" w:rsidP="00000000" w:rsidRDefault="00000000" w:rsidRPr="00000000" w14:paraId="0000003E">
      <w:pPr>
        <w:spacing w:after="0" w:line="276"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Guaranteed Minimum Margin (GMM) is a negotiated agreement whereby a vendor guarantees a minimum profitability margin rate to Amazon. When the actual margin is below the negotiated minimum margin rate, the vendor is invoiced a true up to cover the difference. With this margin insurance, GMM allows Amazon to preserve and expand price-competitive Retail selection profitably. Historically, GMMs were not widely used by Retail Vendor Managers due to the high amount of manual effort required to calculate margins and issue true-up claims. In Nov 2018, we introduced automated GMM as a new agreement type in the Contra-CoGS tool to enable Vendor Managers to create, manage, book, and bill automated GMM agreements. In 2019, we are on track in our shared goal with US Hardlines to achieve $41MM incremental FCF through automated GMMs. </w:t>
      </w:r>
      <w:r w:rsidDel="00000000" w:rsidR="00000000" w:rsidRPr="00000000">
        <w:rPr>
          <w:rtl w:val="0"/>
        </w:rPr>
        <w:t xml:space="preserve">By Sep 2019, we will</w:t>
      </w:r>
      <w:r w:rsidDel="00000000" w:rsidR="00000000" w:rsidRPr="00000000">
        <w:rPr>
          <w:rFonts w:ascii="Calibri" w:cs="Calibri" w:eastAsia="Calibri" w:hAnsi="Calibri"/>
          <w:color w:val="000000"/>
          <w:rtl w:val="0"/>
        </w:rPr>
        <w:t xml:space="preserve"> launch ASIN-level GMMs, a top requested feature which allows Vendor Managers to set individual margin targets for each ASIN (instead of a single margin target for all ASINs combined), preventing situations where a high margin ASIN covers up other ASINs below the minimum margin target. </w:t>
      </w:r>
    </w:p>
    <w:p w:rsidR="00000000" w:rsidDel="00000000" w:rsidP="00000000" w:rsidRDefault="00000000" w:rsidRPr="00000000" w14:paraId="0000003F">
      <w:pPr>
        <w:spacing w:after="0" w:line="276"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40">
      <w:pPr>
        <w:spacing w:after="0" w:line="276"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In 2020, we will make investments to drive GMM adoption in NA, making progress towards our long-term vision to have a default GMM contract for every Retail ASIN listed on Amazon. </w:t>
      </w:r>
      <w:r w:rsidDel="00000000" w:rsidR="00000000" w:rsidRPr="00000000">
        <w:rPr>
          <w:rtl w:val="0"/>
        </w:rPr>
        <w:t xml:space="preserve">We will also develop features to enable Vendor Managers to strike GMM agreements for holdout vendors who need more customization and deploy GMMs WW beginning with EU and IN marketplaces, who currently operate manual GMMs.</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Scale ASIN-level GMMs in NA to drive adoption [Funded, $20MM FCF] –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Our Sep 2019 launch of ASIN-level GMMs will require Vendor Managers to calculate the target margin for each ASIN manually through complex SQL queries. We believe that this manual calculation will be a significant blocker for widespread adoption of ASIN-level GMMs. We will develop automated  margin targets for each ASIN during agreement creation. Vendor Managers will be able to specify an exclusion list of agreements that should not count towards meeting margins, a top request from US Hardline. </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Enable custom payment terms to increase vendor adoption of GMM [Unfunded; 2 HC, $8MM FCF] –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Vendor Managers tell us that one of the top blockers for strategic vendors to accept automated GMM agreements is the potential for uncapped liability in GMM agreements. For example, vendors worry that Amazon will repeatedly drop prices on their selection and require vendors to make up the lost margin. We will enable Vendor Managers to offer a true-up cap to limit vendor liability on agreements. We will also allow Vendor Managers to offer quarterly true up frequency (vs. monthly frequency) to allow high margin months to offset low margin months and help small vendors manage their cash flow better. </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Deploy ASIN-level and vendor-level GMMs WW [Unfunded; 2 HC, $7MM FCF] –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Currently, GMM is launched in US with 900+ GMM agreements created as of 7/30/2019 and projected $50MM additional FCF through new GMM agreements in 2020. In 2020, we will deploy GMM WW to all marketplaces beginning with EU and IN where GMM agreements are created manually.</w:t>
      </w:r>
    </w:p>
    <w:p w:rsidR="00000000" w:rsidDel="00000000" w:rsidP="00000000" w:rsidRDefault="00000000" w:rsidRPr="00000000" w14:paraId="00000044">
      <w:pPr>
        <w:spacing w:after="0" w:line="276" w:lineRule="auto"/>
        <w:jc w:val="both"/>
        <w:rPr>
          <w:b w:val="1"/>
          <w:bCs w:val="1"/>
        </w:rPr>
      </w:pPr>
      <w:r w:rsidDel="00000000" w:rsidR="00000000" w:rsidRPr="00000000">
        <w:rPr>
          <w:rtl w:val="0"/>
        </w:rPr>
      </w:r>
    </w:p>
    <w:p w:rsidR="00000000" w:rsidDel="00000000" w:rsidP="00000000" w:rsidRDefault="00000000" w:rsidRPr="00000000" w14:paraId="00000045">
      <w:pPr>
        <w:spacing w:after="0" w:line="276" w:lineRule="auto"/>
        <w:jc w:val="both"/>
        <w:rPr>
          <w:b w:val="1"/>
          <w:bCs w:val="1"/>
        </w:rPr>
      </w:pPr>
      <w:r w:rsidDel="00000000" w:rsidR="00000000" w:rsidRPr="00000000">
        <w:rPr>
          <w:b w:val="1"/>
          <w:bCs w:val="1"/>
          <w:rtl w:val="0"/>
        </w:rPr>
        <w:t xml:space="preserve">Proposed 2020 Goals</w:t>
      </w:r>
    </w:p>
    <w:p w:rsidR="00000000" w:rsidDel="00000000" w:rsidP="00000000" w:rsidRDefault="00000000" w:rsidRPr="00000000" w14:paraId="0000004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[VP] Drive combined $82MM true ups (+100% YoY) from automated GMM agreements created in 2020.</w:t>
      </w:r>
    </w:p>
    <w:p w:rsidR="00000000" w:rsidDel="00000000" w:rsidP="00000000" w:rsidRDefault="00000000" w:rsidRPr="00000000" w14:paraId="0000004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[Director] Launch automated GMMs agreement WW by 12/31/2020.</w:t>
      </w:r>
    </w:p>
    <w:p w:rsidR="00000000" w:rsidDel="00000000" w:rsidP="00000000" w:rsidRDefault="00000000" w:rsidRPr="00000000" w14:paraId="00000048">
      <w:pPr>
        <w:pStyle w:val="Heading1"/>
        <w:numPr>
          <w:ilvl w:val="0"/>
          <w:numId w:val="7"/>
        </w:numPr>
        <w:pBdr>
          <w:bottom w:color="000000" w:space="1" w:sz="4" w:val="single"/>
        </w:pBdr>
        <w:spacing w:line="276" w:lineRule="auto"/>
        <w:ind w:left="270" w:hanging="270"/>
        <w:rPr/>
      </w:pPr>
      <w:r w:rsidDel="00000000" w:rsidR="00000000" w:rsidRPr="00000000">
        <w:rPr>
          <w:rFonts w:ascii="Calibri" w:cs="Calibri" w:eastAsia="Calibri" w:hAnsi="Calibri"/>
          <w:b w:val="1"/>
          <w:bCs w:val="1"/>
          <w:color w:val="000000"/>
          <w:sz w:val="20"/>
          <w:szCs w:val="20"/>
          <w:rtl w:val="0"/>
        </w:rPr>
        <w:t xml:space="preserve">Increase SPS Finance Controllership and Partnership Support                                                          </w:t>
      </w:r>
      <w:r w:rsidDel="00000000" w:rsidR="00000000" w:rsidRPr="00000000">
        <w:rPr>
          <w:rFonts w:ascii="Calibri" w:cs="Calibri" w:eastAsia="Calibri" w:hAnsi="Calibri"/>
          <w:i w:val="1"/>
          <w:iCs w:val="1"/>
          <w:color w:val="000000"/>
          <w:sz w:val="20"/>
          <w:szCs w:val="20"/>
          <w:rtl w:val="0"/>
        </w:rPr>
        <w:t xml:space="preserve"> (2 FTE funded; 5 FTE unfunded)</w:t>
      </w:r>
      <w:r w:rsidDel="00000000" w:rsidR="00000000" w:rsidRPr="00000000">
        <w:rPr>
          <w:rtl w:val="0"/>
        </w:rPr>
      </w:r>
    </w:p>
    <w:p w:rsidR="00000000" w:rsidDel="00000000" w:rsidP="00000000" w:rsidRDefault="00000000" w:rsidRPr="00000000" w14:paraId="00000049">
      <w:pPr>
        <w:spacing w:after="0" w:line="276" w:lineRule="auto"/>
        <w:jc w:val="both"/>
        <w:rPr/>
      </w:pPr>
      <w:r w:rsidDel="00000000" w:rsidR="00000000" w:rsidRPr="00000000">
        <w:rPr>
          <w:rtl w:val="0"/>
        </w:rPr>
        <w:t xml:space="preserve">In FY2018, there were 13 significant financial errors totaling $430MM and in H1 2019, Contra-CoGS changes led to five errors totaling $110MM that resulted from insufficient testing, validation, and preventive controls. While we corrected the financial impact of these errors, current set of preventive controls are inadequate because Contra-CoGS’ batch processing system does not support a source-to-GL reconciliation. The source-to-GL reconciliation will provide the ability to (1) identify issues at the transactional level during month end close, and (2) perform use case validation during project launches and software changes to ensure transactions will correctly flow into Amazon’s financials. </w:t>
      </w:r>
    </w:p>
    <w:p w:rsidR="00000000" w:rsidDel="00000000" w:rsidP="00000000" w:rsidRDefault="00000000" w:rsidRPr="00000000" w14:paraId="0000004A">
      <w:pPr>
        <w:spacing w:after="0" w:line="276" w:lineRule="auto"/>
        <w:jc w:val="both"/>
        <w:rPr/>
      </w:pPr>
      <w:r w:rsidDel="00000000" w:rsidR="00000000" w:rsidRPr="00000000">
        <w:rPr>
          <w:rtl w:val="0"/>
        </w:rPr>
      </w:r>
    </w:p>
    <w:p w:rsidR="00000000" w:rsidDel="00000000" w:rsidP="00000000" w:rsidRDefault="00000000" w:rsidRPr="00000000" w14:paraId="0000004B">
      <w:pPr>
        <w:spacing w:after="0" w:line="276" w:lineRule="auto"/>
        <w:jc w:val="both"/>
        <w:rPr/>
      </w:pPr>
      <w:r w:rsidDel="00000000" w:rsidR="00000000" w:rsidRPr="00000000">
        <w:rPr>
          <w:rFonts w:ascii="Calibri" w:cs="Calibri" w:eastAsia="Calibri" w:hAnsi="Calibri"/>
          <w:color w:val="000000"/>
          <w:rtl w:val="0"/>
        </w:rPr>
        <w:t xml:space="preserve">In 2019, SPS Finance has two FTEs supporting the WW Contra-CoGS activities for (1) </w:t>
      </w:r>
      <w:r w:rsidDel="00000000" w:rsidR="00000000" w:rsidRPr="00000000">
        <w:rPr>
          <w:rtl w:val="0"/>
        </w:rPr>
        <w:t xml:space="preserve">supervision of internal audit recovery operations in India; (2) review and approve vendor disputes of manual recoveries; (3) SME meetings with VMs; (4) WBR and MBR reporting; (5) ad-hoc requests from Accounting, Finance, Retail VMs, and Tech; and (6) owning the EU reconciliation work from the SDEs (ETA 8/30). Ad-hoc requests occur multiple times weekly because requesters do not know how to obtain certain data or they need help verifying their analysis.  </w:t>
      </w:r>
    </w:p>
    <w:p w:rsidR="00000000" w:rsidDel="00000000" w:rsidP="00000000" w:rsidRDefault="00000000" w:rsidRPr="00000000" w14:paraId="0000004C">
      <w:pPr>
        <w:spacing w:after="0" w:line="276" w:lineRule="auto"/>
        <w:jc w:val="both"/>
        <w:rPr/>
      </w:pPr>
      <w:r w:rsidDel="00000000" w:rsidR="00000000" w:rsidRPr="00000000">
        <w:rPr>
          <w:rtl w:val="0"/>
        </w:rPr>
      </w:r>
    </w:p>
    <w:p w:rsidR="00000000" w:rsidDel="00000000" w:rsidP="00000000" w:rsidRDefault="00000000" w:rsidRPr="00000000" w14:paraId="0000004D">
      <w:pPr>
        <w:spacing w:after="0" w:line="276" w:lineRule="auto"/>
        <w:jc w:val="both"/>
        <w:rPr/>
      </w:pPr>
      <w:r w:rsidDel="00000000" w:rsidR="00000000" w:rsidRPr="00000000">
        <w:rPr>
          <w:rtl w:val="0"/>
        </w:rPr>
        <w:t xml:space="preserve">In 2020, SPS Finance will develop detective and preventive mechanisms to address errors impacting the accuracy of Amazon’s financials. We will create SME-ship and collaborate with WW Finance and Accounting to understand their business needs. We will also work with BADI, Accounting Program Office (APO), and stakeholders impacted by manual processes and tech debt to scope and gather automation requirements.</w:t>
      </w:r>
    </w:p>
    <w:p w:rsidR="00000000" w:rsidDel="00000000" w:rsidP="00000000" w:rsidRDefault="00000000" w:rsidRPr="00000000" w14:paraId="0000004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Build and own Source-to-GL reconciliation WW [Unfunded; 2 HC]</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 in Q2 2019, SPS Finance started to receive training from the Contra-CoGS team on the reconciliation process they perform for the EU. Each month the Contra-CoGS tech team spends 10 person-days across SDEs to complete the reconciliation and review their results with Accounting. Going forward, finance will own this process and become the primary POC for financial impacting issues during month end and project launches. Finance will also translate technical issues into quantifiable financial impact and communicate with Accounting, Finance, and Retail stakeholders WW to address short and long-term fixes.</w:t>
      </w:r>
    </w:p>
    <w:p w:rsidR="00000000" w:rsidDel="00000000" w:rsidP="00000000" w:rsidRDefault="00000000" w:rsidRPr="00000000" w14:paraId="0000004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Create dedicated SME-ship [Unfunded; 2 HC]</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 during the June Coffee Table discussion with Finance leadership, Finance stakeholders expressed the following challenges with Contra-CoGS: (1) the need to perform manual workarounds when the desired function or behavior is not available, (2) data accuracy issues, (3) lack of visibility into changes or issues with downstream impact, and (4) inability to self-service associated reporting. Finance will create a consistent feedback loop with WW Finance and Accounting stakeholders, and work with Contra-CoGS Product Management to address these needs via process improvements and product enhancements. Finance will also support project launches and system changes to ensure minimal downstream financial impact.  </w:t>
      </w:r>
    </w:p>
    <w:p w:rsidR="00000000" w:rsidDel="00000000" w:rsidP="00000000" w:rsidRDefault="00000000" w:rsidRPr="00000000" w14:paraId="0000005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Reduce manual processes [Unfunded; 1 HC]</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 Accounting and Finance stakeholders expressed challenges during month end because manual interventions are required in order to report financial statements accurately. For example, when a straight pay agreement has ASINs with overlapping businesses (ex: Retail and Prime Now), the vendor funding is allocated only to the marketplace that owns the agreement. As a result, Accounting manually re-allocates the funding during month end close. Finance will champion manual process reduction efforts that BADI does not actively support, and work cross functionally with stakeholders from Accounting and Retail to understand their pain points and build business requirements for automation.</w:t>
      </w:r>
    </w:p>
    <w:p w:rsidR="00000000" w:rsidDel="00000000" w:rsidP="00000000" w:rsidRDefault="00000000" w:rsidRPr="00000000" w14:paraId="00000051">
      <w:pPr>
        <w:spacing w:after="0" w:line="276"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pBdr>
          <w:bottom w:color="000000" w:space="1" w:sz="4" w:val="single"/>
        </w:pBd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Appendix 1: Frequently Asked Questions (FAQs)</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70" w:right="0" w:hanging="27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What is Contra-CoGS?</w:t>
      </w:r>
    </w:p>
    <w:p w:rsidR="00000000" w:rsidDel="00000000" w:rsidP="00000000" w:rsidRDefault="00000000" w:rsidRPr="00000000" w14:paraId="00000054">
      <w:pPr>
        <w:spacing w:line="276" w:lineRule="auto"/>
        <w:jc w:val="both"/>
        <w:rPr/>
      </w:pPr>
      <w:r w:rsidDel="00000000" w:rsidR="00000000" w:rsidRPr="00000000">
        <w:rPr>
          <w:rtl w:val="0"/>
        </w:rPr>
        <w:t xml:space="preserve">Contra-CoGS (contrary to the cost of goods sold) represents the funding that we receive from vendors relating to Amazon’s purchase, customer sales, and marketing of vendor inventory. The funding arrangements are recorded as a signed agreement between Amazon and the vendor in the Contra-CoGS Tool. Each agreement specifies the terms of the funding (e.g. 5% accrual for each sale), the time period during which the agreement accrues funding, the transactions that accrue funding (e.g. inventory receipts from specific vendor codes at specific marketplace etc.), and the terms of billing and payments (e.g. currency, payment schedule etc.). On a daily basis, Contra-CoGS ingests millions of vendor shipments, customer shipments, pricing changes and other datasets and matches them with the list available agreement terms to compute accruals at an agreement level.</w:t>
      </w:r>
    </w:p>
    <w:p w:rsidR="00000000" w:rsidDel="00000000" w:rsidP="00000000" w:rsidRDefault="00000000" w:rsidRPr="00000000" w14:paraId="00000055">
      <w:pPr>
        <w:spacing w:line="276" w:lineRule="auto"/>
        <w:jc w:val="both"/>
        <w:rPr/>
      </w:pPr>
      <w:r w:rsidDel="00000000" w:rsidR="00000000" w:rsidRPr="00000000">
        <w:rPr>
          <w:rtl w:val="0"/>
        </w:rPr>
        <w:t xml:space="preserve">As a business and financial lever, Contra-CoGS is an important financial lever to drive Retail profitability and increase overall Free Cash Flow (FCF). The Selling Partner Financial Technology (SPFT) team owns the Contra-CoGS Tool and the associated services that enable the creation, amendment, and financial execution of Contra-CoGS vendor funding agreements with built-in controls to ensure timeliness and financial accuracy. We closely partner with FinOps teams who own the post-billing processes such as invoicing, cash application, collections, the management of vendor disputes and write-offs.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70" w:right="0" w:hanging="27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What are your tenets? </w:t>
      </w:r>
    </w:p>
    <w:p w:rsidR="00000000" w:rsidDel="00000000" w:rsidP="00000000" w:rsidRDefault="00000000" w:rsidRPr="00000000" w14:paraId="00000057">
      <w:pPr>
        <w:spacing w:after="0" w:line="276" w:lineRule="auto"/>
        <w:rPr>
          <w:b w:val="1"/>
          <w:bCs w:val="1"/>
        </w:rPr>
      </w:pPr>
      <w:r w:rsidDel="00000000" w:rsidR="00000000" w:rsidRPr="00000000">
        <w:rPr>
          <w:rtl w:val="0"/>
        </w:rPr>
        <w:t xml:space="preserve"> Unless you know better ones …</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216" w:right="0" w:hanging="216"/>
        <w:jc w:val="both"/>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Security &amp; Operational Excellence – Security and the operational excellence of our systems is our highest priority.</w:t>
      </w:r>
    </w:p>
    <w:p w:rsidR="00000000" w:rsidDel="00000000" w:rsidP="00000000" w:rsidRDefault="00000000" w:rsidRPr="00000000" w14:paraId="0000005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216" w:right="0" w:hanging="216"/>
        <w:jc w:val="both"/>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Accuracy – We guarantee 100% accuracy and completeness of Contra-CoGS data. We provide controls to identify and mitigate issues before impact is experienced.</w:t>
      </w:r>
    </w:p>
    <w:p w:rsidR="00000000" w:rsidDel="00000000" w:rsidP="00000000" w:rsidRDefault="00000000" w:rsidRPr="00000000" w14:paraId="0000005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216" w:right="0" w:hanging="216"/>
        <w:jc w:val="both"/>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Audit – Our services must provide data and tools to audit and fix any error in financial data in a timely manner.</w:t>
      </w:r>
    </w:p>
    <w:p w:rsidR="00000000" w:rsidDel="00000000" w:rsidP="00000000" w:rsidRDefault="00000000" w:rsidRPr="00000000" w14:paraId="0000005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216" w:right="0" w:hanging="216"/>
        <w:jc w:val="both"/>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Timely – We ensure financial transactions have been posted promptly, ideally on the calendar day of their occurrence.</w:t>
      </w:r>
    </w:p>
    <w:p w:rsidR="00000000" w:rsidDel="00000000" w:rsidP="00000000" w:rsidRDefault="00000000" w:rsidRPr="00000000" w14:paraId="0000005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216" w:right="0" w:hanging="216"/>
        <w:jc w:val="both"/>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Transparency – We build trust with our clients by providing clarity into financial data through consistent user experiences. </w:t>
      </w:r>
    </w:p>
    <w:p w:rsidR="00000000" w:rsidDel="00000000" w:rsidP="00000000" w:rsidRDefault="00000000" w:rsidRPr="00000000" w14:paraId="0000005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216" w:right="0" w:hanging="216"/>
        <w:jc w:val="both"/>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Governance – We implement systematic controls that ensure all Contra-CoGS transactions adhere to our tenets. </w:t>
      </w:r>
    </w:p>
    <w:p w:rsidR="00000000" w:rsidDel="00000000" w:rsidP="00000000" w:rsidRDefault="00000000" w:rsidRPr="00000000" w14:paraId="0000005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216" w:right="0" w:hanging="216"/>
        <w:jc w:val="both"/>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Business Growth – We provide a simple, intuitive solution for our customers to leverage our services.  We provide tools, APIs, and reports that are easy to understand while still providing features and power required by sophisticated and demanding customers.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70" w:right="0" w:hanging="27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What products do you own and what businesses do you support today?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CCT team has WW product ownership of the Contra-CoGS tool and associated APIs. Through the tool, we support the following businesses: WW Consumer (Retail), Digital content, Amazon Business, Subscribe and Save, Amazon Fresh, Prime Now, Amazon Go, Amazon Bookstores and Amazon Global Store.</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74" w:right="0" w:hanging="274"/>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Do you have any key dependencies on other teams for your 2020 plans? If so, what are they?</w:t>
      </w:r>
    </w:p>
    <w:p w:rsidR="00000000" w:rsidDel="00000000" w:rsidP="00000000" w:rsidRDefault="00000000" w:rsidRPr="00000000" w14:paraId="00000064">
      <w:pPr>
        <w:spacing w:after="0" w:line="276" w:lineRule="auto"/>
        <w:rPr/>
      </w:pPr>
      <w:r w:rsidDel="00000000" w:rsidR="00000000" w:rsidRPr="00000000">
        <w:rPr>
          <w:rtl w:val="0"/>
        </w:rPr>
        <w:t xml:space="preserve">Yes. Our plans to eliminate Contra-CoGS leakage by simplifying agreement creation and management are dependent upon:</w:t>
      </w:r>
    </w:p>
    <w:p w:rsidR="00000000" w:rsidDel="00000000" w:rsidP="00000000" w:rsidRDefault="00000000" w:rsidRPr="00000000" w14:paraId="000000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Partnership with tech teams within and outside SPS: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We will need to work with related tech teams to ensure the right experience across vendor setup, AVN, and PAWS to capture key agreement creation use cases.</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Partnership with Retail teams: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Retail teams are used to the current model of agreement creation and management and will have to evolve their processes with default rate cards and simplified promotions set up. To ensure we are not misaligned with Retail teams and that it is not a disruptive change to ongoing business, we will drive a PRFAQ review of our proposed simplification with key leaders across Global Retail (Hardlines, Softlines, Consumables, and Digital) by 10/30/2019. </w:t>
      </w:r>
      <w:r w:rsidDel="00000000" w:rsidR="00000000" w:rsidRPr="00000000">
        <w:rPr>
          <w:rtl w:val="0"/>
        </w:rPr>
      </w:r>
    </w:p>
    <w:p w:rsidR="00000000" w:rsidDel="00000000" w:rsidP="00000000" w:rsidRDefault="00000000" w:rsidRPr="00000000" w14:paraId="00000067">
      <w:pPr>
        <w:spacing w:after="0" w:line="276" w:lineRule="auto"/>
        <w:jc w:val="both"/>
        <w:rPr>
          <w:b w:val="1"/>
          <w:bCs w:val="1"/>
        </w:rPr>
      </w:pPr>
      <w:r w:rsidDel="00000000" w:rsidR="00000000" w:rsidRPr="00000000">
        <w:rPr>
          <w:rtl w:val="0"/>
        </w:rPr>
        <w:t xml:space="preserve">Beyond leakage, our plans to increase accuracy and reduce errors are dependent upon the readiness of authoritative upstream systems for source data as we move off Andes. Our ability to move quickly in the Billing arena will be constrained by the speed at which Tax Engine is able to onboard new use cases.</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9">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74" w:right="0" w:hanging="274"/>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How has your leakage recovery strategy evolved in 2019?</w:t>
      </w:r>
    </w:p>
    <w:p w:rsidR="00000000" w:rsidDel="00000000" w:rsidP="00000000" w:rsidRDefault="00000000" w:rsidRPr="00000000" w14:paraId="0000006A">
      <w:pPr>
        <w:spacing w:after="0" w:line="276" w:lineRule="auto"/>
        <w:rPr>
          <w:b w:val="1"/>
          <w:bCs w:val="1"/>
        </w:rPr>
      </w:pPr>
      <w:r w:rsidDel="00000000" w:rsidR="00000000" w:rsidRPr="00000000">
        <w:rPr>
          <w:rtl w:val="0"/>
        </w:rPr>
        <w:t xml:space="preserve">In May 2019, due to escalations from Retail, we decided to stop automatically approving high confidence recommendations on Vendor Manager’s behalf until we have reliable metrics on their accuracy. Instead, we have temporarily redirected SPS Finance resources to increase the 2019 recovery goal for internal audits from $50MM to $62MM, an increase of $12MM. </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74" w:right="0" w:hanging="274"/>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What are your Compliance related initiatives in 2019 and 2020? </w:t>
      </w:r>
    </w:p>
    <w:p w:rsidR="00000000" w:rsidDel="00000000" w:rsidP="00000000" w:rsidRDefault="00000000" w:rsidRPr="00000000" w14:paraId="0000006C">
      <w:pPr>
        <w:spacing w:line="276" w:lineRule="auto"/>
        <w:rPr>
          <w:rFonts w:ascii="Calibri" w:cs="Calibri" w:eastAsia="Calibri" w:hAnsi="Calibri"/>
          <w:b w:val="1"/>
          <w:bCs w:val="1"/>
          <w:color w:val="000000"/>
        </w:rPr>
      </w:pPr>
      <w:r w:rsidDel="00000000" w:rsidR="00000000" w:rsidRPr="00000000">
        <w:rPr>
          <w:rFonts w:ascii="Calibri" w:cs="Calibri" w:eastAsia="Calibri" w:hAnsi="Calibri"/>
          <w:color w:val="000000"/>
          <w:rtl w:val="0"/>
        </w:rPr>
        <w:t xml:space="preserve">To ensure business continuity in all marketplaces, we must maintain compliance with changing regulations WW. In 2019, we delivered features to support three compliance initiatives WW (</w:t>
      </w:r>
      <w:r w:rsidDel="00000000" w:rsidR="00000000" w:rsidRPr="00000000">
        <w:rPr>
          <w:rtl w:val="0"/>
        </w:rPr>
        <w:t xml:space="preserve">Razorbill, Tramway, Japan Consumption Tax).</w:t>
      </w:r>
      <w:r w:rsidDel="00000000" w:rsidR="00000000" w:rsidRPr="00000000">
        <w:rPr>
          <w:rFonts w:ascii="Calibri" w:cs="Calibri" w:eastAsia="Calibri" w:hAnsi="Calibri"/>
          <w:color w:val="000000"/>
          <w:rtl w:val="0"/>
        </w:rPr>
        <w:t xml:space="preserve"> While Tramway was delivered by an away team working in our systems, JP Consumption Tax (3 HC) and Razorbill (1 HC) were not funded and displaced other projects on our roadmap. In 2020, we have two known compliance initiatives for JP C-Tax and MX IEPS.</w:t>
      </w:r>
      <w:r w:rsidDel="00000000" w:rsidR="00000000" w:rsidRPr="00000000">
        <w:rPr>
          <w:rtl w:val="0"/>
        </w:rPr>
      </w:r>
    </w:p>
    <w:p w:rsidR="00000000" w:rsidDel="00000000" w:rsidP="00000000" w:rsidRDefault="00000000" w:rsidRPr="00000000" w14:paraId="0000006D">
      <w:pPr>
        <w:pStyle w:val="Heading1"/>
        <w:pBdr>
          <w:bottom w:color="000000" w:space="1" w:sz="4" w:val="single"/>
        </w:pBd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Appendix 2: 2020 Roadmap and HC Investment</w:t>
      </w:r>
    </w:p>
    <w:p w:rsidR="00000000" w:rsidDel="00000000" w:rsidP="00000000" w:rsidRDefault="00000000" w:rsidRPr="00000000" w14:paraId="0000006E">
      <w:pPr>
        <w:rPr>
          <w:rFonts w:ascii="Calibri" w:cs="Calibri" w:eastAsia="Calibri" w:hAnsi="Calibri"/>
          <w:color w:val="000000"/>
        </w:rPr>
      </w:pPr>
      <w:r w:rsidDel="00000000" w:rsidR="00000000" w:rsidRPr="00000000">
        <w:rPr>
          <w:rFonts w:ascii="Calibri" w:cs="Calibri" w:eastAsia="Calibri" w:hAnsi="Calibri"/>
          <w:color w:val="000000"/>
          <w:rtl w:val="0"/>
        </w:rPr>
        <w:t xml:space="preserve">The following tables represent our 2020 roadmap by program, along with the associated HC investment and business impact.</w:t>
      </w:r>
    </w:p>
    <w:p w:rsidR="00000000" w:rsidDel="00000000" w:rsidP="00000000" w:rsidRDefault="00000000" w:rsidRPr="00000000" w14:paraId="0000006F">
      <w:pPr>
        <w:spacing w:after="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Table 1: 2020 roadmap by initiative</w:t>
      </w:r>
    </w:p>
    <w:tbl>
      <w:tblPr>
        <w:tblStyle w:val="Table1"/>
        <w:tblW w:w="10573.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9"/>
        <w:gridCol w:w="5689"/>
        <w:gridCol w:w="944"/>
        <w:gridCol w:w="1672"/>
        <w:gridCol w:w="1870"/>
        <w:tblGridChange w:id="0">
          <w:tblGrid>
            <w:gridCol w:w="399"/>
            <w:gridCol w:w="5689"/>
            <w:gridCol w:w="944"/>
            <w:gridCol w:w="1672"/>
            <w:gridCol w:w="1870"/>
          </w:tblGrid>
        </w:tblGridChange>
      </w:tblGrid>
      <w:tr>
        <w:trPr>
          <w:cantSplit w:val="0"/>
          <w:trHeight w:val="20" w:hRule="atLeast"/>
          <w:tblHeader w:val="0"/>
        </w:trPr>
        <w:tc>
          <w:tcPr>
            <w:shd w:fill="000000" w:val="clear"/>
            <w:vAlign w:val="center"/>
          </w:tcPr>
          <w:p w:rsidR="00000000" w:rsidDel="00000000" w:rsidP="00000000" w:rsidRDefault="00000000" w:rsidRPr="00000000" w14:paraId="00000070">
            <w:pPr>
              <w:spacing w:after="0" w:line="240" w:lineRule="auto"/>
              <w:rPr>
                <w:rFonts w:ascii="Calibri" w:cs="Calibri" w:eastAsia="Calibri" w:hAnsi="Calibri"/>
                <w:b w:val="1"/>
                <w:bCs w:val="1"/>
                <w:color w:val="ffffff"/>
                <w:sz w:val="18"/>
                <w:szCs w:val="18"/>
              </w:rPr>
            </w:pPr>
            <w:r w:rsidDel="00000000" w:rsidR="00000000" w:rsidRPr="00000000">
              <w:rPr>
                <w:rtl w:val="0"/>
              </w:rPr>
            </w:r>
          </w:p>
        </w:tc>
        <w:tc>
          <w:tcPr>
            <w:shd w:fill="000000" w:val="clear"/>
            <w:vAlign w:val="center"/>
          </w:tcPr>
          <w:p w:rsidR="00000000" w:rsidDel="00000000" w:rsidP="00000000" w:rsidRDefault="00000000" w:rsidRPr="00000000" w14:paraId="00000071">
            <w:pPr>
              <w:spacing w:after="0" w:line="240" w:lineRule="auto"/>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Program</w:t>
            </w:r>
          </w:p>
        </w:tc>
        <w:tc>
          <w:tcPr>
            <w:shd w:fill="000000" w:val="clear"/>
            <w:vAlign w:val="center"/>
          </w:tcPr>
          <w:p w:rsidR="00000000" w:rsidDel="00000000" w:rsidP="00000000" w:rsidRDefault="00000000" w:rsidRPr="00000000" w14:paraId="00000072">
            <w:pPr>
              <w:spacing w:after="0" w:line="240" w:lineRule="auto"/>
              <w:jc w:val="center"/>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2019 HC</w:t>
            </w:r>
          </w:p>
        </w:tc>
        <w:tc>
          <w:tcPr>
            <w:shd w:fill="000000" w:val="clear"/>
            <w:vAlign w:val="center"/>
          </w:tcPr>
          <w:p w:rsidR="00000000" w:rsidDel="00000000" w:rsidP="00000000" w:rsidRDefault="00000000" w:rsidRPr="00000000" w14:paraId="00000073">
            <w:pPr>
              <w:spacing w:after="0" w:line="240" w:lineRule="auto"/>
              <w:jc w:val="center"/>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2020 HC investment</w:t>
            </w:r>
          </w:p>
        </w:tc>
        <w:tc>
          <w:tcPr>
            <w:shd w:fill="000000" w:val="clear"/>
          </w:tcPr>
          <w:p w:rsidR="00000000" w:rsidDel="00000000" w:rsidP="00000000" w:rsidRDefault="00000000" w:rsidRPr="00000000" w14:paraId="00000074">
            <w:pPr>
              <w:spacing w:after="0" w:line="240" w:lineRule="auto"/>
              <w:jc w:val="center"/>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Incremental FCF (annualized)</w:t>
            </w:r>
          </w:p>
        </w:tc>
      </w:tr>
      <w:tr>
        <w:trPr>
          <w:cantSplit w:val="0"/>
          <w:trHeight w:val="20" w:hRule="atLeast"/>
          <w:tblHeader w:val="0"/>
        </w:trPr>
        <w:tc>
          <w:tcPr>
            <w:shd w:fill="000000" w:val="clear"/>
          </w:tcPr>
          <w:p w:rsidR="00000000" w:rsidDel="00000000" w:rsidP="00000000" w:rsidRDefault="00000000" w:rsidRPr="00000000" w14:paraId="00000075">
            <w:pPr>
              <w:spacing w:after="0" w:line="240" w:lineRule="auto"/>
              <w:jc w:val="center"/>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1</w:t>
            </w:r>
          </w:p>
        </w:tc>
        <w:tc>
          <w:tcPr>
            <w:shd w:fill="ffffff" w:val="clear"/>
          </w:tcPr>
          <w:p w:rsidR="00000000" w:rsidDel="00000000" w:rsidP="00000000" w:rsidRDefault="00000000" w:rsidRPr="00000000" w14:paraId="00000076">
            <w:pPr>
              <w:spacing w:after="0" w:line="240" w:lineRule="auto"/>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Contra-CoGS KTLO</w:t>
            </w:r>
          </w:p>
        </w:tc>
        <w:tc>
          <w:tcPr>
            <w:shd w:fill="ffffff" w:val="clear"/>
          </w:tcPr>
          <w:p w:rsidR="00000000" w:rsidDel="00000000" w:rsidP="00000000" w:rsidRDefault="00000000" w:rsidRPr="00000000" w14:paraId="00000077">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9</w:t>
            </w:r>
          </w:p>
        </w:tc>
        <w:tc>
          <w:tcPr>
            <w:shd w:fill="ffffff" w:val="clear"/>
          </w:tcPr>
          <w:p w:rsidR="00000000" w:rsidDel="00000000" w:rsidP="00000000" w:rsidRDefault="00000000" w:rsidRPr="00000000" w14:paraId="00000078">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9</w:t>
            </w:r>
          </w:p>
        </w:tc>
        <w:tc>
          <w:tcPr>
            <w:shd w:fill="ffffff" w:val="clear"/>
          </w:tcPr>
          <w:p w:rsidR="00000000" w:rsidDel="00000000" w:rsidP="00000000" w:rsidRDefault="00000000" w:rsidRPr="00000000" w14:paraId="00000079">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w:t>
            </w:r>
          </w:p>
        </w:tc>
      </w:tr>
      <w:tr>
        <w:trPr>
          <w:cantSplit w:val="0"/>
          <w:trHeight w:val="20" w:hRule="atLeast"/>
          <w:tblHeader w:val="0"/>
        </w:trPr>
        <w:tc>
          <w:tcPr>
            <w:shd w:fill="000000" w:val="clear"/>
          </w:tcPr>
          <w:p w:rsidR="00000000" w:rsidDel="00000000" w:rsidP="00000000" w:rsidRDefault="00000000" w:rsidRPr="00000000" w14:paraId="0000007A">
            <w:pPr>
              <w:spacing w:after="0" w:line="240" w:lineRule="auto"/>
              <w:jc w:val="center"/>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2</w:t>
            </w:r>
          </w:p>
        </w:tc>
        <w:tc>
          <w:tcPr>
            <w:shd w:fill="ffffff" w:val="clear"/>
          </w:tcPr>
          <w:p w:rsidR="00000000" w:rsidDel="00000000" w:rsidP="00000000" w:rsidRDefault="00000000" w:rsidRPr="00000000" w14:paraId="0000007B">
            <w:pPr>
              <w:spacing w:after="0" w:line="240" w:lineRule="auto"/>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Financial accuracy: robust Contra-CoGS test environments and controls; engineering excellence; full CD to reduce errors and improve efficiency of away teams</w:t>
            </w:r>
          </w:p>
        </w:tc>
        <w:tc>
          <w:tcPr>
            <w:shd w:fill="ffffff" w:val="clear"/>
          </w:tcPr>
          <w:p w:rsidR="00000000" w:rsidDel="00000000" w:rsidP="00000000" w:rsidRDefault="00000000" w:rsidRPr="00000000" w14:paraId="0000007C">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w:t>
            </w:r>
          </w:p>
        </w:tc>
        <w:tc>
          <w:tcPr>
            <w:shd w:fill="ffffff" w:val="clear"/>
          </w:tcPr>
          <w:p w:rsidR="00000000" w:rsidDel="00000000" w:rsidP="00000000" w:rsidRDefault="00000000" w:rsidRPr="00000000" w14:paraId="0000007D">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4</w:t>
            </w:r>
          </w:p>
        </w:tc>
        <w:tc>
          <w:tcPr>
            <w:shd w:fill="ffffff" w:val="clear"/>
          </w:tcPr>
          <w:p w:rsidR="00000000" w:rsidDel="00000000" w:rsidP="00000000" w:rsidRDefault="00000000" w:rsidRPr="00000000" w14:paraId="0000007E">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w:t>
            </w:r>
          </w:p>
        </w:tc>
      </w:tr>
      <w:tr>
        <w:trPr>
          <w:cantSplit w:val="0"/>
          <w:trHeight w:val="20" w:hRule="atLeast"/>
          <w:tblHeader w:val="0"/>
        </w:trPr>
        <w:tc>
          <w:tcPr>
            <w:shd w:fill="000000" w:val="clear"/>
          </w:tcPr>
          <w:p w:rsidR="00000000" w:rsidDel="00000000" w:rsidP="00000000" w:rsidRDefault="00000000" w:rsidRPr="00000000" w14:paraId="0000007F">
            <w:pPr>
              <w:spacing w:after="0" w:line="240" w:lineRule="auto"/>
              <w:jc w:val="center"/>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3</w:t>
            </w:r>
          </w:p>
        </w:tc>
        <w:tc>
          <w:tcPr>
            <w:shd w:fill="ffffff" w:val="clear"/>
          </w:tcPr>
          <w:p w:rsidR="00000000" w:rsidDel="00000000" w:rsidP="00000000" w:rsidRDefault="00000000" w:rsidRPr="00000000" w14:paraId="00000080">
            <w:pPr>
              <w:spacing w:after="0" w:line="240" w:lineRule="auto"/>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Compliance</w:t>
            </w:r>
          </w:p>
        </w:tc>
        <w:tc>
          <w:tcPr>
            <w:shd w:fill="ffffff" w:val="clear"/>
          </w:tcPr>
          <w:p w:rsidR="00000000" w:rsidDel="00000000" w:rsidP="00000000" w:rsidRDefault="00000000" w:rsidRPr="00000000" w14:paraId="00000081">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shd w:fill="ffffff" w:val="clear"/>
          </w:tcPr>
          <w:p w:rsidR="00000000" w:rsidDel="00000000" w:rsidP="00000000" w:rsidRDefault="00000000" w:rsidRPr="00000000" w14:paraId="00000082">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6</w:t>
            </w:r>
          </w:p>
        </w:tc>
        <w:tc>
          <w:tcPr>
            <w:shd w:fill="ffffff" w:val="clear"/>
          </w:tcPr>
          <w:p w:rsidR="00000000" w:rsidDel="00000000" w:rsidP="00000000" w:rsidRDefault="00000000" w:rsidRPr="00000000" w14:paraId="00000083">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w:t>
            </w:r>
          </w:p>
        </w:tc>
      </w:tr>
      <w:tr>
        <w:trPr>
          <w:cantSplit w:val="0"/>
          <w:trHeight w:val="20" w:hRule="atLeast"/>
          <w:tblHeader w:val="0"/>
        </w:trPr>
        <w:tc>
          <w:tcPr>
            <w:shd w:fill="000000" w:val="clear"/>
          </w:tcPr>
          <w:p w:rsidR="00000000" w:rsidDel="00000000" w:rsidP="00000000" w:rsidRDefault="00000000" w:rsidRPr="00000000" w14:paraId="00000084">
            <w:pPr>
              <w:spacing w:after="0" w:line="240" w:lineRule="auto"/>
              <w:jc w:val="center"/>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4</w:t>
            </w:r>
          </w:p>
        </w:tc>
        <w:tc>
          <w:tcPr>
            <w:shd w:fill="ffffff" w:val="clear"/>
          </w:tcPr>
          <w:p w:rsidR="00000000" w:rsidDel="00000000" w:rsidP="00000000" w:rsidRDefault="00000000" w:rsidRPr="00000000" w14:paraId="00000085">
            <w:pPr>
              <w:spacing w:after="0" w:line="240" w:lineRule="auto"/>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Drive adoption of Guaranteed Minimum Margin (GMM) agreements in US</w:t>
            </w:r>
          </w:p>
        </w:tc>
        <w:tc>
          <w:tcPr>
            <w:shd w:fill="ffffff" w:val="clear"/>
          </w:tcPr>
          <w:p w:rsidR="00000000" w:rsidDel="00000000" w:rsidP="00000000" w:rsidRDefault="00000000" w:rsidRPr="00000000" w14:paraId="00000086">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4</w:t>
            </w:r>
          </w:p>
        </w:tc>
        <w:tc>
          <w:tcPr>
            <w:shd w:fill="ffffff" w:val="clear"/>
          </w:tcPr>
          <w:p w:rsidR="00000000" w:rsidDel="00000000" w:rsidP="00000000" w:rsidRDefault="00000000" w:rsidRPr="00000000" w14:paraId="00000087">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2</w:t>
            </w:r>
          </w:p>
        </w:tc>
        <w:tc>
          <w:tcPr>
            <w:shd w:fill="ffffff" w:val="clear"/>
          </w:tcPr>
          <w:p w:rsidR="00000000" w:rsidDel="00000000" w:rsidP="00000000" w:rsidRDefault="00000000" w:rsidRPr="00000000" w14:paraId="00000088">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$20MM</w:t>
            </w:r>
          </w:p>
        </w:tc>
      </w:tr>
      <w:tr>
        <w:trPr>
          <w:cantSplit w:val="0"/>
          <w:trHeight w:val="20" w:hRule="atLeast"/>
          <w:tblHeader w:val="0"/>
        </w:trPr>
        <w:tc>
          <w:tcPr>
            <w:shd w:fill="000000" w:val="clear"/>
          </w:tcPr>
          <w:p w:rsidR="00000000" w:rsidDel="00000000" w:rsidP="00000000" w:rsidRDefault="00000000" w:rsidRPr="00000000" w14:paraId="00000089">
            <w:pPr>
              <w:spacing w:after="0" w:line="240" w:lineRule="auto"/>
              <w:jc w:val="center"/>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5</w:t>
            </w:r>
          </w:p>
        </w:tc>
        <w:tc>
          <w:tcPr>
            <w:shd w:fill="ffffff" w:val="clear"/>
          </w:tcPr>
          <w:p w:rsidR="00000000" w:rsidDel="00000000" w:rsidP="00000000" w:rsidRDefault="00000000" w:rsidRPr="00000000" w14:paraId="0000008A">
            <w:pPr>
              <w:spacing w:after="0" w:line="240" w:lineRule="auto"/>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Ensure financial accuracy through an event driven architecture (supports BADI initiative, improves away team efficiency) (Part -1)</w:t>
            </w:r>
          </w:p>
        </w:tc>
        <w:tc>
          <w:tcPr>
            <w:shd w:fill="ffffff" w:val="clear"/>
          </w:tcPr>
          <w:p w:rsidR="00000000" w:rsidDel="00000000" w:rsidP="00000000" w:rsidRDefault="00000000" w:rsidRPr="00000000" w14:paraId="0000008B">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5</w:t>
            </w:r>
          </w:p>
        </w:tc>
        <w:tc>
          <w:tcPr>
            <w:shd w:fill="ffffff" w:val="clear"/>
          </w:tcPr>
          <w:p w:rsidR="00000000" w:rsidDel="00000000" w:rsidP="00000000" w:rsidRDefault="00000000" w:rsidRPr="00000000" w14:paraId="0000008C">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4</w:t>
            </w:r>
          </w:p>
        </w:tc>
        <w:tc>
          <w:tcPr>
            <w:shd w:fill="ffffff" w:val="clear"/>
          </w:tcPr>
          <w:p w:rsidR="00000000" w:rsidDel="00000000" w:rsidP="00000000" w:rsidRDefault="00000000" w:rsidRPr="00000000" w14:paraId="0000008D">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w:t>
            </w:r>
          </w:p>
        </w:tc>
      </w:tr>
      <w:tr>
        <w:trPr>
          <w:cantSplit w:val="0"/>
          <w:trHeight w:val="20" w:hRule="atLeast"/>
          <w:tblHeader w:val="0"/>
        </w:trPr>
        <w:tc>
          <w:tcPr>
            <w:shd w:fill="000000" w:val="clear"/>
          </w:tcPr>
          <w:p w:rsidR="00000000" w:rsidDel="00000000" w:rsidP="00000000" w:rsidRDefault="00000000" w:rsidRPr="00000000" w14:paraId="0000008E">
            <w:pPr>
              <w:spacing w:after="0" w:line="240" w:lineRule="auto"/>
              <w:jc w:val="center"/>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6</w:t>
            </w:r>
          </w:p>
        </w:tc>
        <w:tc>
          <w:tcPr>
            <w:shd w:fill="ffffff" w:val="clear"/>
          </w:tcPr>
          <w:p w:rsidR="00000000" w:rsidDel="00000000" w:rsidP="00000000" w:rsidRDefault="00000000" w:rsidRPr="00000000" w14:paraId="0000008F">
            <w:pPr>
              <w:spacing w:after="0" w:line="240" w:lineRule="auto"/>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Reduce manually-collected funding ("Leakages")</w:t>
            </w:r>
          </w:p>
        </w:tc>
        <w:tc>
          <w:tcPr>
            <w:shd w:fill="ffffff" w:val="clear"/>
          </w:tcPr>
          <w:p w:rsidR="00000000" w:rsidDel="00000000" w:rsidP="00000000" w:rsidRDefault="00000000" w:rsidRPr="00000000" w14:paraId="00000090">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2</w:t>
            </w:r>
          </w:p>
        </w:tc>
        <w:tc>
          <w:tcPr>
            <w:shd w:fill="ffffff" w:val="clear"/>
          </w:tcPr>
          <w:p w:rsidR="00000000" w:rsidDel="00000000" w:rsidP="00000000" w:rsidRDefault="00000000" w:rsidRPr="00000000" w14:paraId="00000091">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2</w:t>
            </w:r>
          </w:p>
        </w:tc>
        <w:tc>
          <w:tcPr>
            <w:shd w:fill="ffffff" w:val="clear"/>
          </w:tcPr>
          <w:p w:rsidR="00000000" w:rsidDel="00000000" w:rsidP="00000000" w:rsidRDefault="00000000" w:rsidRPr="00000000" w14:paraId="00000092">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w:t>
            </w:r>
          </w:p>
        </w:tc>
      </w:tr>
      <w:tr>
        <w:trPr>
          <w:cantSplit w:val="0"/>
          <w:trHeight w:val="20" w:hRule="atLeast"/>
          <w:tblHeader w:val="0"/>
        </w:trPr>
        <w:tc>
          <w:tcPr>
            <w:shd w:fill="000000" w:val="clear"/>
          </w:tcPr>
          <w:p w:rsidR="00000000" w:rsidDel="00000000" w:rsidP="00000000" w:rsidRDefault="00000000" w:rsidRPr="00000000" w14:paraId="00000093">
            <w:pPr>
              <w:spacing w:after="0" w:line="240" w:lineRule="auto"/>
              <w:jc w:val="center"/>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 </w:t>
            </w:r>
          </w:p>
        </w:tc>
        <w:tc>
          <w:tcPr>
            <w:shd w:fill="ffffff" w:val="clear"/>
          </w:tcPr>
          <w:p w:rsidR="00000000" w:rsidDel="00000000" w:rsidP="00000000" w:rsidRDefault="00000000" w:rsidRPr="00000000" w14:paraId="00000094">
            <w:pPr>
              <w:spacing w:after="0" w:line="240" w:lineRule="auto"/>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PM support </w:t>
            </w:r>
          </w:p>
        </w:tc>
        <w:tc>
          <w:tcPr>
            <w:shd w:fill="ffffff" w:val="clear"/>
          </w:tcPr>
          <w:p w:rsidR="00000000" w:rsidDel="00000000" w:rsidP="00000000" w:rsidRDefault="00000000" w:rsidRPr="00000000" w14:paraId="00000095">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shd w:fill="ffffff" w:val="clear"/>
          </w:tcPr>
          <w:p w:rsidR="00000000" w:rsidDel="00000000" w:rsidP="00000000" w:rsidRDefault="00000000" w:rsidRPr="00000000" w14:paraId="00000096">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shd w:fill="ffffff" w:val="clear"/>
          </w:tcPr>
          <w:p w:rsidR="00000000" w:rsidDel="00000000" w:rsidP="00000000" w:rsidRDefault="00000000" w:rsidRPr="00000000" w14:paraId="00000097">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n/a</w:t>
            </w:r>
          </w:p>
        </w:tc>
      </w:tr>
      <w:tr>
        <w:trPr>
          <w:cantSplit w:val="0"/>
          <w:trHeight w:val="20" w:hRule="atLeast"/>
          <w:tblHeader w:val="0"/>
        </w:trPr>
        <w:tc>
          <w:tcPr>
            <w:shd w:fill="000000" w:val="clear"/>
          </w:tcPr>
          <w:p w:rsidR="00000000" w:rsidDel="00000000" w:rsidP="00000000" w:rsidRDefault="00000000" w:rsidRPr="00000000" w14:paraId="00000098">
            <w:pPr>
              <w:spacing w:after="0" w:line="240" w:lineRule="auto"/>
              <w:jc w:val="center"/>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 </w:t>
            </w:r>
          </w:p>
        </w:tc>
        <w:tc>
          <w:tcPr>
            <w:shd w:fill="ffffff" w:val="clear"/>
          </w:tcPr>
          <w:p w:rsidR="00000000" w:rsidDel="00000000" w:rsidP="00000000" w:rsidRDefault="00000000" w:rsidRPr="00000000" w14:paraId="00000099">
            <w:pPr>
              <w:spacing w:after="0" w:line="240" w:lineRule="auto"/>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SDM support </w:t>
            </w:r>
          </w:p>
        </w:tc>
        <w:tc>
          <w:tcPr>
            <w:shd w:fill="ffffff" w:val="clear"/>
          </w:tcPr>
          <w:p w:rsidR="00000000" w:rsidDel="00000000" w:rsidP="00000000" w:rsidRDefault="00000000" w:rsidRPr="00000000" w14:paraId="0000009A">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5</w:t>
            </w:r>
          </w:p>
        </w:tc>
        <w:tc>
          <w:tcPr>
            <w:shd w:fill="ffffff" w:val="clear"/>
          </w:tcPr>
          <w:p w:rsidR="00000000" w:rsidDel="00000000" w:rsidP="00000000" w:rsidRDefault="00000000" w:rsidRPr="00000000" w14:paraId="0000009B">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5</w:t>
            </w:r>
          </w:p>
        </w:tc>
        <w:tc>
          <w:tcPr>
            <w:shd w:fill="ffffff" w:val="clear"/>
          </w:tcPr>
          <w:p w:rsidR="00000000" w:rsidDel="00000000" w:rsidP="00000000" w:rsidRDefault="00000000" w:rsidRPr="00000000" w14:paraId="0000009C">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n/a</w:t>
            </w:r>
          </w:p>
        </w:tc>
      </w:tr>
      <w:tr>
        <w:trPr>
          <w:cantSplit w:val="0"/>
          <w:trHeight w:val="20" w:hRule="atLeast"/>
          <w:tblHeader w:val="0"/>
        </w:trPr>
        <w:tc>
          <w:tcPr>
            <w:shd w:fill="000000" w:val="clear"/>
          </w:tcPr>
          <w:p w:rsidR="00000000" w:rsidDel="00000000" w:rsidP="00000000" w:rsidRDefault="00000000" w:rsidRPr="00000000" w14:paraId="0000009D">
            <w:pPr>
              <w:spacing w:after="0" w:line="240" w:lineRule="auto"/>
              <w:jc w:val="center"/>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 </w:t>
            </w:r>
          </w:p>
        </w:tc>
        <w:tc>
          <w:tcPr>
            <w:shd w:fill="ffffff" w:val="clear"/>
          </w:tcPr>
          <w:p w:rsidR="00000000" w:rsidDel="00000000" w:rsidP="00000000" w:rsidRDefault="00000000" w:rsidRPr="00000000" w14:paraId="0000009E">
            <w:pPr>
              <w:spacing w:after="0" w:line="240" w:lineRule="auto"/>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TPM support </w:t>
            </w:r>
          </w:p>
        </w:tc>
        <w:tc>
          <w:tcPr>
            <w:shd w:fill="ffffff" w:val="clear"/>
          </w:tcPr>
          <w:p w:rsidR="00000000" w:rsidDel="00000000" w:rsidP="00000000" w:rsidRDefault="00000000" w:rsidRPr="00000000" w14:paraId="0000009F">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2</w:t>
            </w:r>
          </w:p>
        </w:tc>
        <w:tc>
          <w:tcPr>
            <w:shd w:fill="ffffff" w:val="clear"/>
          </w:tcPr>
          <w:p w:rsidR="00000000" w:rsidDel="00000000" w:rsidP="00000000" w:rsidRDefault="00000000" w:rsidRPr="00000000" w14:paraId="000000A0">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2</w:t>
            </w:r>
          </w:p>
        </w:tc>
        <w:tc>
          <w:tcPr>
            <w:shd w:fill="ffffff" w:val="clear"/>
          </w:tcPr>
          <w:p w:rsidR="00000000" w:rsidDel="00000000" w:rsidP="00000000" w:rsidRDefault="00000000" w:rsidRPr="00000000" w14:paraId="000000A1">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n/a</w:t>
            </w:r>
          </w:p>
        </w:tc>
      </w:tr>
      <w:tr>
        <w:trPr>
          <w:cantSplit w:val="0"/>
          <w:trHeight w:val="20" w:hRule="atLeast"/>
          <w:tblHeader w:val="0"/>
        </w:trPr>
        <w:tc>
          <w:tcPr>
            <w:shd w:fill="000000" w:val="clear"/>
          </w:tcPr>
          <w:p w:rsidR="00000000" w:rsidDel="00000000" w:rsidP="00000000" w:rsidRDefault="00000000" w:rsidRPr="00000000" w14:paraId="000000A2">
            <w:pPr>
              <w:spacing w:after="0" w:line="240" w:lineRule="auto"/>
              <w:rPr>
                <w:rFonts w:ascii="Calibri" w:cs="Calibri" w:eastAsia="Calibri" w:hAnsi="Calibri"/>
                <w:b w:val="1"/>
                <w:bCs w:val="1"/>
                <w:color w:val="ffffff"/>
                <w:sz w:val="18"/>
                <w:szCs w:val="18"/>
              </w:rPr>
            </w:pPr>
            <w:r w:rsidDel="00000000" w:rsidR="00000000" w:rsidRPr="00000000">
              <w:rPr>
                <w:rtl w:val="0"/>
              </w:rPr>
            </w:r>
          </w:p>
        </w:tc>
        <w:tc>
          <w:tcPr>
            <w:shd w:fill="000000" w:val="clear"/>
          </w:tcPr>
          <w:p w:rsidR="00000000" w:rsidDel="00000000" w:rsidP="00000000" w:rsidRDefault="00000000" w:rsidRPr="00000000" w14:paraId="000000A3">
            <w:pPr>
              <w:spacing w:after="0" w:line="240" w:lineRule="auto"/>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CUT LINE WITH NO ADDITIONAL INVESTMENT</w:t>
            </w:r>
          </w:p>
        </w:tc>
        <w:tc>
          <w:tcPr>
            <w:shd w:fill="000000" w:val="clear"/>
          </w:tcPr>
          <w:p w:rsidR="00000000" w:rsidDel="00000000" w:rsidP="00000000" w:rsidRDefault="00000000" w:rsidRPr="00000000" w14:paraId="000000A4">
            <w:pPr>
              <w:spacing w:after="0" w:line="240" w:lineRule="auto"/>
              <w:rPr>
                <w:rFonts w:ascii="Calibri" w:cs="Calibri" w:eastAsia="Calibri" w:hAnsi="Calibri"/>
                <w:color w:val="ffffff"/>
                <w:sz w:val="18"/>
                <w:szCs w:val="18"/>
              </w:rPr>
            </w:pPr>
            <w:r w:rsidDel="00000000" w:rsidR="00000000" w:rsidRPr="00000000">
              <w:rPr>
                <w:rtl w:val="0"/>
              </w:rPr>
            </w:r>
          </w:p>
        </w:tc>
        <w:tc>
          <w:tcPr>
            <w:shd w:fill="000000" w:val="clear"/>
          </w:tcPr>
          <w:p w:rsidR="00000000" w:rsidDel="00000000" w:rsidP="00000000" w:rsidRDefault="00000000" w:rsidRPr="00000000" w14:paraId="000000A5">
            <w:pPr>
              <w:spacing w:after="0" w:line="240" w:lineRule="auto"/>
              <w:rPr>
                <w:rFonts w:ascii="Calibri" w:cs="Calibri" w:eastAsia="Calibri" w:hAnsi="Calibri"/>
                <w:color w:val="ffffff"/>
                <w:sz w:val="18"/>
                <w:szCs w:val="18"/>
              </w:rPr>
            </w:pPr>
            <w:r w:rsidDel="00000000" w:rsidR="00000000" w:rsidRPr="00000000">
              <w:rPr>
                <w:rtl w:val="0"/>
              </w:rPr>
            </w:r>
          </w:p>
        </w:tc>
        <w:tc>
          <w:tcPr>
            <w:shd w:fill="000000" w:val="clear"/>
          </w:tcPr>
          <w:p w:rsidR="00000000" w:rsidDel="00000000" w:rsidP="00000000" w:rsidRDefault="00000000" w:rsidRPr="00000000" w14:paraId="000000A6">
            <w:pPr>
              <w:spacing w:after="0" w:line="240" w:lineRule="auto"/>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 </w:t>
            </w:r>
          </w:p>
        </w:tc>
      </w:tr>
      <w:tr>
        <w:trPr>
          <w:cantSplit w:val="0"/>
          <w:trHeight w:val="20" w:hRule="atLeast"/>
          <w:tblHeader w:val="0"/>
        </w:trPr>
        <w:tc>
          <w:tcPr>
            <w:shd w:fill="000000" w:val="clear"/>
          </w:tcPr>
          <w:p w:rsidR="00000000" w:rsidDel="00000000" w:rsidP="00000000" w:rsidRDefault="00000000" w:rsidRPr="00000000" w14:paraId="000000A7">
            <w:pPr>
              <w:spacing w:after="0" w:line="240" w:lineRule="auto"/>
              <w:jc w:val="center"/>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7</w:t>
            </w:r>
          </w:p>
        </w:tc>
        <w:tc>
          <w:tcPr>
            <w:shd w:fill="ffffff" w:val="clear"/>
          </w:tcPr>
          <w:p w:rsidR="00000000" w:rsidDel="00000000" w:rsidP="00000000" w:rsidRDefault="00000000" w:rsidRPr="00000000" w14:paraId="000000A8">
            <w:pPr>
              <w:spacing w:after="0" w:line="240" w:lineRule="auto"/>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Simplify Contra-CoGS agreement creation and management to eliminate leakages</w:t>
            </w:r>
          </w:p>
        </w:tc>
        <w:tc>
          <w:tcPr>
            <w:shd w:fill="ffffff" w:val="clear"/>
          </w:tcPr>
          <w:p w:rsidR="00000000" w:rsidDel="00000000" w:rsidP="00000000" w:rsidRDefault="00000000" w:rsidRPr="00000000" w14:paraId="000000A9">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2</w:t>
            </w:r>
          </w:p>
        </w:tc>
        <w:tc>
          <w:tcPr>
            <w:shd w:fill="ffffff" w:val="clear"/>
          </w:tcPr>
          <w:p w:rsidR="00000000" w:rsidDel="00000000" w:rsidP="00000000" w:rsidRDefault="00000000" w:rsidRPr="00000000" w14:paraId="000000AA">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15 HC requested</w:t>
            </w:r>
          </w:p>
        </w:tc>
        <w:tc>
          <w:tcPr>
            <w:shd w:fill="ffffff" w:val="clear"/>
          </w:tcPr>
          <w:p w:rsidR="00000000" w:rsidDel="00000000" w:rsidP="00000000" w:rsidRDefault="00000000" w:rsidRPr="00000000" w14:paraId="000000AB">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$90MM</w:t>
            </w:r>
          </w:p>
        </w:tc>
      </w:tr>
      <w:tr>
        <w:trPr>
          <w:cantSplit w:val="0"/>
          <w:trHeight w:val="20" w:hRule="atLeast"/>
          <w:tblHeader w:val="0"/>
        </w:trPr>
        <w:tc>
          <w:tcPr>
            <w:shd w:fill="000000" w:val="clear"/>
          </w:tcPr>
          <w:p w:rsidR="00000000" w:rsidDel="00000000" w:rsidP="00000000" w:rsidRDefault="00000000" w:rsidRPr="00000000" w14:paraId="000000AC">
            <w:pPr>
              <w:spacing w:after="0" w:line="240" w:lineRule="auto"/>
              <w:jc w:val="center"/>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8</w:t>
            </w:r>
          </w:p>
        </w:tc>
        <w:tc>
          <w:tcPr>
            <w:shd w:fill="ffffff" w:val="clear"/>
          </w:tcPr>
          <w:p w:rsidR="00000000" w:rsidDel="00000000" w:rsidP="00000000" w:rsidRDefault="00000000" w:rsidRPr="00000000" w14:paraId="000000AD">
            <w:pPr>
              <w:spacing w:after="0" w:line="240" w:lineRule="auto"/>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Deploy GMM WW and enable agreement customization to increase adoption</w:t>
            </w:r>
          </w:p>
        </w:tc>
        <w:tc>
          <w:tcPr>
            <w:shd w:fill="ffffff" w:val="clear"/>
          </w:tcPr>
          <w:p w:rsidR="00000000" w:rsidDel="00000000" w:rsidP="00000000" w:rsidRDefault="00000000" w:rsidRPr="00000000" w14:paraId="000000AE">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w:t>
            </w:r>
          </w:p>
        </w:tc>
        <w:tc>
          <w:tcPr>
            <w:shd w:fill="ffffff" w:val="clear"/>
          </w:tcPr>
          <w:p w:rsidR="00000000" w:rsidDel="00000000" w:rsidP="00000000" w:rsidRDefault="00000000" w:rsidRPr="00000000" w14:paraId="000000AF">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4 HC requested </w:t>
            </w:r>
          </w:p>
        </w:tc>
        <w:tc>
          <w:tcPr>
            <w:shd w:fill="ffffff" w:val="clear"/>
          </w:tcPr>
          <w:p w:rsidR="00000000" w:rsidDel="00000000" w:rsidP="00000000" w:rsidRDefault="00000000" w:rsidRPr="00000000" w14:paraId="000000B0">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$15MM</w:t>
            </w:r>
          </w:p>
        </w:tc>
      </w:tr>
      <w:tr>
        <w:trPr>
          <w:cantSplit w:val="0"/>
          <w:trHeight w:val="20" w:hRule="atLeast"/>
          <w:tblHeader w:val="0"/>
        </w:trPr>
        <w:tc>
          <w:tcPr>
            <w:shd w:fill="000000" w:val="clear"/>
          </w:tcPr>
          <w:p w:rsidR="00000000" w:rsidDel="00000000" w:rsidP="00000000" w:rsidRDefault="00000000" w:rsidRPr="00000000" w14:paraId="000000B1">
            <w:pPr>
              <w:spacing w:after="0" w:line="240" w:lineRule="auto"/>
              <w:jc w:val="center"/>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9</w:t>
            </w:r>
          </w:p>
        </w:tc>
        <w:tc>
          <w:tcPr>
            <w:shd w:fill="auto" w:val="clear"/>
          </w:tcPr>
          <w:p w:rsidR="00000000" w:rsidDel="00000000" w:rsidP="00000000" w:rsidRDefault="00000000" w:rsidRPr="00000000" w14:paraId="000000B2">
            <w:pPr>
              <w:spacing w:after="0" w:line="240" w:lineRule="auto"/>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Ensure financial accuracy through an event driven architecture (supports BADI initiative, improves away team efficiency) (Part -2)</w:t>
            </w:r>
          </w:p>
        </w:tc>
        <w:tc>
          <w:tcPr>
            <w:shd w:fill="ffffff" w:val="clear"/>
          </w:tcPr>
          <w:p w:rsidR="00000000" w:rsidDel="00000000" w:rsidP="00000000" w:rsidRDefault="00000000" w:rsidRPr="00000000" w14:paraId="000000B3">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w:t>
            </w:r>
          </w:p>
        </w:tc>
        <w:tc>
          <w:tcPr>
            <w:shd w:fill="ffffff" w:val="clear"/>
          </w:tcPr>
          <w:p w:rsidR="00000000" w:rsidDel="00000000" w:rsidP="00000000" w:rsidRDefault="00000000" w:rsidRPr="00000000" w14:paraId="000000B4">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5 HC requested </w:t>
            </w:r>
          </w:p>
        </w:tc>
        <w:tc>
          <w:tcPr>
            <w:shd w:fill="ffffff" w:val="clear"/>
          </w:tcPr>
          <w:p w:rsidR="00000000" w:rsidDel="00000000" w:rsidP="00000000" w:rsidRDefault="00000000" w:rsidRPr="00000000" w14:paraId="000000B5">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w:t>
            </w:r>
          </w:p>
        </w:tc>
      </w:tr>
      <w:tr>
        <w:trPr>
          <w:cantSplit w:val="0"/>
          <w:trHeight w:val="20" w:hRule="atLeast"/>
          <w:tblHeader w:val="0"/>
        </w:trPr>
        <w:tc>
          <w:tcPr>
            <w:shd w:fill="000000" w:val="clear"/>
          </w:tcPr>
          <w:p w:rsidR="00000000" w:rsidDel="00000000" w:rsidP="00000000" w:rsidRDefault="00000000" w:rsidRPr="00000000" w14:paraId="000000B6">
            <w:pPr>
              <w:spacing w:after="0" w:line="240" w:lineRule="auto"/>
              <w:jc w:val="center"/>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10</w:t>
            </w:r>
          </w:p>
        </w:tc>
        <w:tc>
          <w:tcPr>
            <w:shd w:fill="auto" w:val="clear"/>
          </w:tcPr>
          <w:p w:rsidR="00000000" w:rsidDel="00000000" w:rsidP="00000000" w:rsidRDefault="00000000" w:rsidRPr="00000000" w14:paraId="000000B7">
            <w:pPr>
              <w:spacing w:after="0" w:line="240" w:lineRule="auto"/>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Increase SPS Finance Controllership and Partnership Support</w:t>
            </w:r>
          </w:p>
        </w:tc>
        <w:tc>
          <w:tcPr>
            <w:shd w:fill="ffffff" w:val="clear"/>
          </w:tcPr>
          <w:p w:rsidR="00000000" w:rsidDel="00000000" w:rsidP="00000000" w:rsidRDefault="00000000" w:rsidRPr="00000000" w14:paraId="000000B8">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2</w:t>
            </w:r>
          </w:p>
        </w:tc>
        <w:tc>
          <w:tcPr>
            <w:shd w:fill="ffffff" w:val="clear"/>
          </w:tcPr>
          <w:p w:rsidR="00000000" w:rsidDel="00000000" w:rsidP="00000000" w:rsidRDefault="00000000" w:rsidRPr="00000000" w14:paraId="000000B9">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5 HC requested</w:t>
            </w:r>
          </w:p>
        </w:tc>
        <w:tc>
          <w:tcPr>
            <w:shd w:fill="ffffff" w:val="clear"/>
          </w:tcPr>
          <w:p w:rsidR="00000000" w:rsidDel="00000000" w:rsidP="00000000" w:rsidRDefault="00000000" w:rsidRPr="00000000" w14:paraId="000000BA">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w:t>
            </w:r>
          </w:p>
        </w:tc>
      </w:tr>
      <w:tr>
        <w:trPr>
          <w:cantSplit w:val="0"/>
          <w:trHeight w:val="20" w:hRule="atLeast"/>
          <w:tblHeader w:val="0"/>
        </w:trPr>
        <w:tc>
          <w:tcPr>
            <w:shd w:fill="000000" w:val="clear"/>
            <w:vAlign w:val="bottom"/>
          </w:tcPr>
          <w:p w:rsidR="00000000" w:rsidDel="00000000" w:rsidP="00000000" w:rsidRDefault="00000000" w:rsidRPr="00000000" w14:paraId="000000BB">
            <w:pPr>
              <w:spacing w:after="0" w:line="240" w:lineRule="auto"/>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 </w:t>
            </w:r>
          </w:p>
        </w:tc>
        <w:tc>
          <w:tcPr>
            <w:shd w:fill="000000" w:val="clear"/>
          </w:tcPr>
          <w:p w:rsidR="00000000" w:rsidDel="00000000" w:rsidP="00000000" w:rsidRDefault="00000000" w:rsidRPr="00000000" w14:paraId="000000BC">
            <w:pPr>
              <w:spacing w:after="0" w:line="240" w:lineRule="auto"/>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Total</w:t>
            </w:r>
          </w:p>
        </w:tc>
        <w:tc>
          <w:tcPr>
            <w:shd w:fill="000000" w:val="clear"/>
          </w:tcPr>
          <w:p w:rsidR="00000000" w:rsidDel="00000000" w:rsidP="00000000" w:rsidRDefault="00000000" w:rsidRPr="00000000" w14:paraId="000000BD">
            <w:pPr>
              <w:spacing w:after="0" w:line="240" w:lineRule="auto"/>
              <w:jc w:val="center"/>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39 HC funded</w:t>
            </w:r>
          </w:p>
        </w:tc>
        <w:tc>
          <w:tcPr>
            <w:shd w:fill="000000" w:val="clear"/>
          </w:tcPr>
          <w:p w:rsidR="00000000" w:rsidDel="00000000" w:rsidP="00000000" w:rsidRDefault="00000000" w:rsidRPr="00000000" w14:paraId="000000BE">
            <w:pPr>
              <w:spacing w:after="0" w:line="240" w:lineRule="auto"/>
              <w:jc w:val="center"/>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39 HC funded; 29 HC requested</w:t>
            </w:r>
          </w:p>
        </w:tc>
        <w:tc>
          <w:tcPr>
            <w:shd w:fill="000000" w:val="clear"/>
          </w:tcPr>
          <w:p w:rsidR="00000000" w:rsidDel="00000000" w:rsidP="00000000" w:rsidRDefault="00000000" w:rsidRPr="00000000" w14:paraId="000000BF">
            <w:pPr>
              <w:spacing w:after="0" w:line="240" w:lineRule="auto"/>
              <w:jc w:val="center"/>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$20MM funded, $105MM unfunded</w:t>
            </w:r>
          </w:p>
        </w:tc>
      </w:tr>
    </w:tbl>
    <w:p w:rsidR="00000000" w:rsidDel="00000000" w:rsidP="00000000" w:rsidRDefault="00000000" w:rsidRPr="00000000" w14:paraId="000000C0">
      <w:pPr>
        <w:spacing w:after="0" w:lineRule="auto"/>
        <w:rPr>
          <w:rFonts w:ascii="Calibri" w:cs="Calibri" w:eastAsia="Calibri" w:hAnsi="Calibri"/>
          <w:b w:val="1"/>
          <w:bCs w:val="1"/>
          <w:color w:val="000000"/>
        </w:rPr>
      </w:pPr>
      <w:r w:rsidDel="00000000" w:rsidR="00000000" w:rsidRPr="00000000">
        <w:rPr>
          <w:rtl w:val="0"/>
        </w:rPr>
      </w:r>
    </w:p>
    <w:p w:rsidR="00000000" w:rsidDel="00000000" w:rsidP="00000000" w:rsidRDefault="00000000" w:rsidRPr="00000000" w14:paraId="000000C1">
      <w:pPr>
        <w:spacing w:after="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Table 2: Details of FCF calculation</w:t>
      </w:r>
    </w:p>
    <w:p w:rsidR="00000000" w:rsidDel="00000000" w:rsidP="00000000" w:rsidRDefault="00000000" w:rsidRPr="00000000" w14:paraId="000000C2">
      <w:pP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Our initiatives to reduce leakages will generate FCF from (1) savings in operational expenditure from eliminated audits, (2) savings from quicker FCF (audit recoveries typically lag 1.5 yrs), and (3) forgone claims that the audit team or Retail teams decided not to pursue (e.g. those below our minimum threshold for a claim).  </w:t>
      </w:r>
    </w:p>
    <w:tbl>
      <w:tblPr>
        <w:tblStyle w:val="Table2"/>
        <w:tblW w:w="10140.0" w:type="dxa"/>
        <w:jc w:val="left"/>
        <w:tblLayout w:type="fixed"/>
        <w:tblLook w:val="0400"/>
      </w:tblPr>
      <w:tblGrid>
        <w:gridCol w:w="399"/>
        <w:gridCol w:w="1138"/>
        <w:gridCol w:w="5686"/>
        <w:gridCol w:w="2917"/>
        <w:tblGridChange w:id="0">
          <w:tblGrid>
            <w:gridCol w:w="399"/>
            <w:gridCol w:w="1138"/>
            <w:gridCol w:w="5686"/>
            <w:gridCol w:w="2917"/>
          </w:tblGrid>
        </w:tblGridChange>
      </w:tblGrid>
      <w:tr>
        <w:trPr>
          <w:cantSplit w:val="0"/>
          <w:trHeight w:val="20" w:hRule="atLeast"/>
          <w:tblHeader w:val="0"/>
        </w:trPr>
        <w:tc>
          <w:tcPr>
            <w:tcBorders>
              <w:top w:color="000000" w:space="0" w:sz="4" w:val="single"/>
              <w:left w:color="000000" w:space="0" w:sz="4" w:val="single"/>
              <w:bottom w:color="000000" w:space="0" w:sz="0" w:val="nil"/>
              <w:right w:color="000000" w:space="0" w:sz="0" w:val="nil"/>
            </w:tcBorders>
            <w:shd w:fill="000000" w:val="clear"/>
          </w:tcPr>
          <w:p w:rsidR="00000000" w:rsidDel="00000000" w:rsidP="00000000" w:rsidRDefault="00000000" w:rsidRPr="00000000" w14:paraId="000000C3">
            <w:pPr>
              <w:jc w:val="center"/>
              <w:rPr>
                <w:rFonts w:ascii="Calibri" w:cs="Calibri" w:eastAsia="Calibri" w:hAnsi="Calibri"/>
                <w:b w:val="1"/>
                <w:bCs w:val="1"/>
                <w:color w:val="ffffff"/>
                <w:sz w:val="18"/>
                <w:szCs w:val="18"/>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000000" w:val="clear"/>
            <w:vAlign w:val="center"/>
          </w:tcPr>
          <w:p w:rsidR="00000000" w:rsidDel="00000000" w:rsidP="00000000" w:rsidRDefault="00000000" w:rsidRPr="00000000" w14:paraId="000000C4">
            <w:pPr>
              <w:spacing w:after="0" w:line="240" w:lineRule="auto"/>
              <w:jc w:val="center"/>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Section</w:t>
            </w:r>
          </w:p>
        </w:tc>
        <w:tc>
          <w:tcPr>
            <w:tcBorders>
              <w:top w:color="000000" w:space="0" w:sz="4" w:val="single"/>
              <w:left w:color="000000" w:space="0" w:sz="0" w:val="nil"/>
              <w:bottom w:color="000000" w:space="0" w:sz="0" w:val="nil"/>
              <w:right w:color="000000" w:space="0" w:sz="0" w:val="nil"/>
            </w:tcBorders>
            <w:shd w:fill="000000" w:val="clear"/>
            <w:vAlign w:val="center"/>
          </w:tcPr>
          <w:p w:rsidR="00000000" w:rsidDel="00000000" w:rsidP="00000000" w:rsidRDefault="00000000" w:rsidRPr="00000000" w14:paraId="000000C5">
            <w:pPr>
              <w:spacing w:after="0" w:line="240" w:lineRule="auto"/>
              <w:jc w:val="center"/>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Initiative</w:t>
            </w:r>
          </w:p>
        </w:tc>
        <w:tc>
          <w:tcPr>
            <w:tcBorders>
              <w:top w:color="000000" w:space="0" w:sz="4" w:val="single"/>
              <w:left w:color="000000" w:space="0" w:sz="0" w:val="nil"/>
              <w:bottom w:color="000000" w:space="0" w:sz="0" w:val="nil"/>
              <w:right w:color="000000" w:space="0" w:sz="4" w:val="single"/>
            </w:tcBorders>
            <w:shd w:fill="000000" w:val="clear"/>
            <w:vAlign w:val="center"/>
          </w:tcPr>
          <w:p w:rsidR="00000000" w:rsidDel="00000000" w:rsidP="00000000" w:rsidRDefault="00000000" w:rsidRPr="00000000" w14:paraId="000000C6">
            <w:pPr>
              <w:spacing w:after="0" w:line="240" w:lineRule="auto"/>
              <w:jc w:val="center"/>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Total FCF</w:t>
            </w:r>
          </w:p>
        </w:tc>
      </w:tr>
      <w:tr>
        <w:trPr>
          <w:cantSplit w:val="0"/>
          <w:trHeight w:val="20" w:hRule="atLeast"/>
          <w:tblHeader w:val="0"/>
        </w:trPr>
        <w:tc>
          <w:tcPr>
            <w:tcBorders>
              <w:top w:color="000000" w:space="0" w:sz="4" w:val="single"/>
              <w:left w:color="000000" w:space="0" w:sz="4" w:val="single"/>
              <w:bottom w:color="000000" w:space="0" w:sz="0" w:val="nil"/>
              <w:right w:color="000000" w:space="0" w:sz="0" w:val="nil"/>
            </w:tcBorders>
            <w:shd w:fill="000000" w:val="clear"/>
            <w:vAlign w:val="bottom"/>
          </w:tcPr>
          <w:p w:rsidR="00000000" w:rsidDel="00000000" w:rsidP="00000000" w:rsidRDefault="00000000" w:rsidRPr="00000000" w14:paraId="000000C7">
            <w:pPr>
              <w:spacing w:after="0" w:line="240" w:lineRule="auto"/>
              <w:jc w:val="center"/>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1</w:t>
            </w:r>
          </w:p>
        </w:tc>
        <w:tc>
          <w:tcPr>
            <w:tcBorders>
              <w:top w:color="000000" w:space="0" w:sz="4" w:val="single"/>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0C8">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3A</w:t>
            </w:r>
          </w:p>
        </w:tc>
        <w:tc>
          <w:tcPr>
            <w:tcBorders>
              <w:top w:color="000000" w:space="0" w:sz="4" w:val="single"/>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C9">
            <w:pPr>
              <w:spacing w:after="0" w:line="240" w:lineRule="auto"/>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Launch default rate cards to eliminate $222MM leakages (unfunded)</w:t>
            </w:r>
          </w:p>
        </w:tc>
        <w:tc>
          <w:tcPr>
            <w:tcBorders>
              <w:top w:color="000000" w:space="0" w:sz="4" w:val="single"/>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0CA">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$82MM</w:t>
            </w:r>
          </w:p>
        </w:tc>
      </w:tr>
      <w:tr>
        <w:trPr>
          <w:cantSplit w:val="0"/>
          <w:trHeight w:val="20" w:hRule="atLeast"/>
          <w:tblHeader w:val="0"/>
        </w:trPr>
        <w:tc>
          <w:tcPr>
            <w:tcBorders>
              <w:top w:color="000000" w:space="0" w:sz="0" w:val="nil"/>
              <w:left w:color="000000" w:space="0" w:sz="4" w:val="single"/>
              <w:bottom w:color="000000" w:space="0" w:sz="0" w:val="nil"/>
              <w:right w:color="000000" w:space="0" w:sz="0" w:val="nil"/>
            </w:tcBorders>
            <w:shd w:fill="000000" w:val="clear"/>
            <w:vAlign w:val="bottom"/>
          </w:tcPr>
          <w:p w:rsidR="00000000" w:rsidDel="00000000" w:rsidP="00000000" w:rsidRDefault="00000000" w:rsidRPr="00000000" w14:paraId="000000CB">
            <w:pPr>
              <w:spacing w:after="0" w:line="240" w:lineRule="auto"/>
              <w:jc w:val="center"/>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2</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0CC">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CD">
            <w:pPr>
              <w:spacing w:after="0" w:line="240" w:lineRule="auto"/>
              <w:jc w:val="righ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Savings in opex (audit expenses, HC costs)</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0CE">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$19MM</w:t>
            </w:r>
          </w:p>
        </w:tc>
      </w:tr>
      <w:tr>
        <w:trPr>
          <w:cantSplit w:val="0"/>
          <w:trHeight w:val="20" w:hRule="atLeast"/>
          <w:tblHeader w:val="0"/>
        </w:trPr>
        <w:tc>
          <w:tcPr>
            <w:tcBorders>
              <w:top w:color="000000" w:space="0" w:sz="0" w:val="nil"/>
              <w:left w:color="000000" w:space="0" w:sz="4" w:val="single"/>
              <w:bottom w:color="000000" w:space="0" w:sz="0" w:val="nil"/>
              <w:right w:color="000000" w:space="0" w:sz="0" w:val="nil"/>
            </w:tcBorders>
            <w:shd w:fill="000000" w:val="clear"/>
            <w:vAlign w:val="bottom"/>
          </w:tcPr>
          <w:p w:rsidR="00000000" w:rsidDel="00000000" w:rsidP="00000000" w:rsidRDefault="00000000" w:rsidRPr="00000000" w14:paraId="000000CF">
            <w:pPr>
              <w:spacing w:after="0" w:line="240" w:lineRule="auto"/>
              <w:jc w:val="center"/>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3</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0D0">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D1">
            <w:pPr>
              <w:spacing w:after="0" w:line="240" w:lineRule="auto"/>
              <w:jc w:val="righ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Savings from cash flow improvement</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0D2">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$38MM</w:t>
            </w:r>
          </w:p>
        </w:tc>
      </w:tr>
      <w:tr>
        <w:trPr>
          <w:cantSplit w:val="0"/>
          <w:trHeight w:val="20" w:hRule="atLeast"/>
          <w:tblHeader w:val="0"/>
        </w:trPr>
        <w:tc>
          <w:tcPr>
            <w:tcBorders>
              <w:top w:color="000000" w:space="0" w:sz="0" w:val="nil"/>
              <w:left w:color="000000" w:space="0" w:sz="4" w:val="single"/>
              <w:bottom w:color="000000" w:space="0" w:sz="4" w:val="single"/>
              <w:right w:color="000000" w:space="0" w:sz="0" w:val="nil"/>
            </w:tcBorders>
            <w:shd w:fill="000000" w:val="clear"/>
            <w:vAlign w:val="bottom"/>
          </w:tcPr>
          <w:p w:rsidR="00000000" w:rsidDel="00000000" w:rsidP="00000000" w:rsidRDefault="00000000" w:rsidRPr="00000000" w14:paraId="000000D3">
            <w:pPr>
              <w:spacing w:after="0" w:line="240" w:lineRule="auto"/>
              <w:jc w:val="center"/>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4</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D4">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0D5">
            <w:pPr>
              <w:spacing w:after="0" w:line="240" w:lineRule="auto"/>
              <w:jc w:val="righ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Incremental FCF from forgone claims</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D6">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$25MM</w:t>
            </w:r>
          </w:p>
        </w:tc>
      </w:tr>
      <w:tr>
        <w:trPr>
          <w:cantSplit w:val="0"/>
          <w:trHeight w:val="20" w:hRule="atLeast"/>
          <w:tblHeader w:val="0"/>
        </w:trPr>
        <w:tc>
          <w:tcPr>
            <w:tcBorders>
              <w:top w:color="000000" w:space="0" w:sz="0" w:val="nil"/>
              <w:left w:color="000000" w:space="0" w:sz="4" w:val="single"/>
              <w:bottom w:color="000000" w:space="0" w:sz="0" w:val="nil"/>
              <w:right w:color="000000" w:space="0" w:sz="0" w:val="nil"/>
            </w:tcBorders>
            <w:shd w:fill="000000" w:val="clear"/>
            <w:vAlign w:val="bottom"/>
          </w:tcPr>
          <w:p w:rsidR="00000000" w:rsidDel="00000000" w:rsidP="00000000" w:rsidRDefault="00000000" w:rsidRPr="00000000" w14:paraId="000000D7">
            <w:pPr>
              <w:spacing w:after="0" w:line="240" w:lineRule="auto"/>
              <w:jc w:val="center"/>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5</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0D8">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3B</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D9">
            <w:pPr>
              <w:spacing w:after="0" w:line="240" w:lineRule="auto"/>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Integrate with authoritative data sources to prevent leakages (unfunded)</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0DA">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$8MM</w:t>
            </w:r>
          </w:p>
        </w:tc>
      </w:tr>
      <w:tr>
        <w:trPr>
          <w:cantSplit w:val="0"/>
          <w:trHeight w:val="20" w:hRule="atLeast"/>
          <w:tblHeader w:val="0"/>
        </w:trPr>
        <w:tc>
          <w:tcPr>
            <w:tcBorders>
              <w:top w:color="000000" w:space="0" w:sz="0" w:val="nil"/>
              <w:left w:color="000000" w:space="0" w:sz="4" w:val="single"/>
              <w:bottom w:color="000000" w:space="0" w:sz="0" w:val="nil"/>
              <w:right w:color="000000" w:space="0" w:sz="0" w:val="nil"/>
            </w:tcBorders>
            <w:shd w:fill="000000" w:val="clear"/>
            <w:vAlign w:val="bottom"/>
          </w:tcPr>
          <w:p w:rsidR="00000000" w:rsidDel="00000000" w:rsidP="00000000" w:rsidRDefault="00000000" w:rsidRPr="00000000" w14:paraId="000000DB">
            <w:pPr>
              <w:spacing w:after="0" w:line="240" w:lineRule="auto"/>
              <w:jc w:val="center"/>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6</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0DC">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DD">
            <w:pPr>
              <w:spacing w:after="0" w:line="240" w:lineRule="auto"/>
              <w:jc w:val="righ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Savings in opex (audit expenses, HC costs)</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0DE">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$2MM</w:t>
            </w:r>
          </w:p>
        </w:tc>
      </w:tr>
      <w:tr>
        <w:trPr>
          <w:cantSplit w:val="0"/>
          <w:trHeight w:val="20" w:hRule="atLeast"/>
          <w:tblHeader w:val="0"/>
        </w:trPr>
        <w:tc>
          <w:tcPr>
            <w:tcBorders>
              <w:top w:color="000000" w:space="0" w:sz="0" w:val="nil"/>
              <w:left w:color="000000" w:space="0" w:sz="4" w:val="single"/>
              <w:bottom w:color="000000" w:space="0" w:sz="0" w:val="nil"/>
              <w:right w:color="000000" w:space="0" w:sz="0" w:val="nil"/>
            </w:tcBorders>
            <w:shd w:fill="000000" w:val="clear"/>
            <w:vAlign w:val="bottom"/>
          </w:tcPr>
          <w:p w:rsidR="00000000" w:rsidDel="00000000" w:rsidP="00000000" w:rsidRDefault="00000000" w:rsidRPr="00000000" w14:paraId="000000DF">
            <w:pPr>
              <w:spacing w:after="0" w:line="240" w:lineRule="auto"/>
              <w:jc w:val="center"/>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7</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0E0">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E1">
            <w:pPr>
              <w:spacing w:after="0" w:line="240" w:lineRule="auto"/>
              <w:jc w:val="righ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Savings from cash flow improvement</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0E2">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$2MM</w:t>
            </w:r>
          </w:p>
        </w:tc>
      </w:tr>
      <w:tr>
        <w:trPr>
          <w:cantSplit w:val="0"/>
          <w:trHeight w:val="20" w:hRule="atLeast"/>
          <w:tblHeader w:val="0"/>
        </w:trPr>
        <w:tc>
          <w:tcPr>
            <w:tcBorders>
              <w:top w:color="000000" w:space="0" w:sz="0" w:val="nil"/>
              <w:left w:color="000000" w:space="0" w:sz="4" w:val="single"/>
              <w:bottom w:color="000000" w:space="0" w:sz="4" w:val="single"/>
              <w:right w:color="000000" w:space="0" w:sz="0" w:val="nil"/>
            </w:tcBorders>
            <w:shd w:fill="000000" w:val="clear"/>
            <w:vAlign w:val="bottom"/>
          </w:tcPr>
          <w:p w:rsidR="00000000" w:rsidDel="00000000" w:rsidP="00000000" w:rsidRDefault="00000000" w:rsidRPr="00000000" w14:paraId="000000E3">
            <w:pPr>
              <w:spacing w:after="0" w:line="240" w:lineRule="auto"/>
              <w:jc w:val="center"/>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8</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E4">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0E5">
            <w:pPr>
              <w:spacing w:after="0" w:line="240" w:lineRule="auto"/>
              <w:jc w:val="righ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Incremental FCF from forgone claims</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E6">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$4MM</w:t>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000000" w:val="clear"/>
            <w:vAlign w:val="bottom"/>
          </w:tcPr>
          <w:p w:rsidR="00000000" w:rsidDel="00000000" w:rsidP="00000000" w:rsidRDefault="00000000" w:rsidRPr="00000000" w14:paraId="000000E7">
            <w:pPr>
              <w:spacing w:after="0" w:line="240" w:lineRule="auto"/>
              <w:jc w:val="center"/>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9</w:t>
            </w:r>
          </w:p>
        </w:tc>
        <w:tc>
          <w:tcPr>
            <w:tcBorders>
              <w:top w:color="000000" w:space="0" w:sz="0" w:val="nil"/>
              <w:left w:color="000000" w:space="0" w:sz="0" w:val="nil"/>
              <w:bottom w:color="000000" w:space="0" w:sz="4" w:val="single"/>
              <w:right w:color="000000" w:space="0" w:sz="4" w:val="single"/>
            </w:tcBorders>
            <w:shd w:fill="bfbfbf" w:val="clear"/>
            <w:vAlign w:val="bottom"/>
          </w:tcPr>
          <w:p w:rsidR="00000000" w:rsidDel="00000000" w:rsidP="00000000" w:rsidRDefault="00000000" w:rsidRPr="00000000" w14:paraId="000000E8">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3A + 3B</w:t>
            </w:r>
          </w:p>
        </w:tc>
        <w:tc>
          <w:tcPr>
            <w:tcBorders>
              <w:top w:color="000000" w:space="0" w:sz="0" w:val="nil"/>
              <w:left w:color="000000" w:space="0" w:sz="0" w:val="nil"/>
              <w:bottom w:color="000000" w:space="0" w:sz="4" w:val="single"/>
              <w:right w:color="000000" w:space="0" w:sz="0" w:val="nil"/>
            </w:tcBorders>
            <w:shd w:fill="bfbfbf" w:val="clear"/>
            <w:vAlign w:val="bottom"/>
          </w:tcPr>
          <w:p w:rsidR="00000000" w:rsidDel="00000000" w:rsidP="00000000" w:rsidRDefault="00000000" w:rsidRPr="00000000" w14:paraId="000000E9">
            <w:pPr>
              <w:spacing w:after="0" w:line="240" w:lineRule="auto"/>
              <w:jc w:val="right"/>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Total Section 3</w:t>
            </w:r>
          </w:p>
        </w:tc>
        <w:tc>
          <w:tcPr>
            <w:tcBorders>
              <w:top w:color="000000" w:space="0" w:sz="0" w:val="nil"/>
              <w:left w:color="000000" w:space="0" w:sz="4" w:val="single"/>
              <w:bottom w:color="000000" w:space="0" w:sz="4" w:val="single"/>
              <w:right w:color="000000" w:space="0" w:sz="4" w:val="single"/>
            </w:tcBorders>
            <w:shd w:fill="bfbfbf" w:val="clear"/>
            <w:vAlign w:val="bottom"/>
          </w:tcPr>
          <w:p w:rsidR="00000000" w:rsidDel="00000000" w:rsidP="00000000" w:rsidRDefault="00000000" w:rsidRPr="00000000" w14:paraId="000000EA">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$90MM</w:t>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000000" w:val="clear"/>
            <w:vAlign w:val="bottom"/>
          </w:tcPr>
          <w:p w:rsidR="00000000" w:rsidDel="00000000" w:rsidP="00000000" w:rsidRDefault="00000000" w:rsidRPr="00000000" w14:paraId="000000EB">
            <w:pPr>
              <w:spacing w:after="0" w:line="240" w:lineRule="auto"/>
              <w:jc w:val="center"/>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10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C">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5A</w:t>
            </w:r>
          </w:p>
        </w:tc>
        <w:tc>
          <w:tcPr>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0ED">
            <w:pPr>
              <w:spacing w:after="0" w:line="240" w:lineRule="auto"/>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Scale ASIN-level GMMs in NA to Drive Adoption (funded)</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EE">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$20MM</w:t>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000000" w:val="clear"/>
            <w:vAlign w:val="bottom"/>
          </w:tcPr>
          <w:p w:rsidR="00000000" w:rsidDel="00000000" w:rsidP="00000000" w:rsidRDefault="00000000" w:rsidRPr="00000000" w14:paraId="000000EF">
            <w:pPr>
              <w:spacing w:after="0" w:line="240" w:lineRule="auto"/>
              <w:jc w:val="center"/>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11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0">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5B</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0F1">
            <w:pPr>
              <w:spacing w:after="0" w:line="240" w:lineRule="auto"/>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Enable custom payment terms to reduce vendor anxiety (unfunded)</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F2">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$8MM</w:t>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000000" w:val="clear"/>
            <w:vAlign w:val="bottom"/>
          </w:tcPr>
          <w:p w:rsidR="00000000" w:rsidDel="00000000" w:rsidP="00000000" w:rsidRDefault="00000000" w:rsidRPr="00000000" w14:paraId="000000F3">
            <w:pPr>
              <w:spacing w:after="0" w:line="240" w:lineRule="auto"/>
              <w:jc w:val="center"/>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12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4">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5C</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0F5">
            <w:pPr>
              <w:spacing w:after="0" w:line="240" w:lineRule="auto"/>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Deploy ASIN-level and vendor-level GMMs WW (unfunded)</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F6">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$7MM</w:t>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000000" w:val="clear"/>
            <w:vAlign w:val="bottom"/>
          </w:tcPr>
          <w:p w:rsidR="00000000" w:rsidDel="00000000" w:rsidP="00000000" w:rsidRDefault="00000000" w:rsidRPr="00000000" w14:paraId="000000F7">
            <w:pPr>
              <w:spacing w:after="0" w:line="240" w:lineRule="auto"/>
              <w:jc w:val="center"/>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13</w:t>
            </w:r>
          </w:p>
        </w:tc>
        <w:tc>
          <w:tcPr>
            <w:tcBorders>
              <w:top w:color="000000" w:space="0" w:sz="0" w:val="nil"/>
              <w:left w:color="000000" w:space="0" w:sz="0" w:val="nil"/>
              <w:bottom w:color="000000" w:space="0" w:sz="4" w:val="single"/>
              <w:right w:color="000000" w:space="0" w:sz="4" w:val="single"/>
            </w:tcBorders>
            <w:shd w:fill="bfbfbf" w:val="clear"/>
            <w:vAlign w:val="bottom"/>
          </w:tcPr>
          <w:p w:rsidR="00000000" w:rsidDel="00000000" w:rsidP="00000000" w:rsidRDefault="00000000" w:rsidRPr="00000000" w14:paraId="000000F8">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5A + 5B + 5C</w:t>
            </w:r>
          </w:p>
        </w:tc>
        <w:tc>
          <w:tcPr>
            <w:tcBorders>
              <w:top w:color="000000" w:space="0" w:sz="0" w:val="nil"/>
              <w:left w:color="000000" w:space="0" w:sz="0" w:val="nil"/>
              <w:bottom w:color="000000" w:space="0" w:sz="4" w:val="single"/>
              <w:right w:color="000000" w:space="0" w:sz="0" w:val="nil"/>
            </w:tcBorders>
            <w:shd w:fill="bfbfbf" w:val="clear"/>
            <w:vAlign w:val="bottom"/>
          </w:tcPr>
          <w:p w:rsidR="00000000" w:rsidDel="00000000" w:rsidP="00000000" w:rsidRDefault="00000000" w:rsidRPr="00000000" w14:paraId="000000F9">
            <w:pPr>
              <w:spacing w:after="0" w:line="240" w:lineRule="auto"/>
              <w:jc w:val="right"/>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Total Section 5</w:t>
            </w:r>
          </w:p>
        </w:tc>
        <w:tc>
          <w:tcPr>
            <w:tcBorders>
              <w:top w:color="000000" w:space="0" w:sz="0" w:val="nil"/>
              <w:left w:color="000000" w:space="0" w:sz="4" w:val="single"/>
              <w:bottom w:color="000000" w:space="0" w:sz="4" w:val="single"/>
              <w:right w:color="000000" w:space="0" w:sz="4" w:val="single"/>
            </w:tcBorders>
            <w:shd w:fill="bfbfbf" w:val="clear"/>
            <w:vAlign w:val="bottom"/>
          </w:tcPr>
          <w:p w:rsidR="00000000" w:rsidDel="00000000" w:rsidP="00000000" w:rsidRDefault="00000000" w:rsidRPr="00000000" w14:paraId="000000FA">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$35MM</w:t>
            </w:r>
          </w:p>
        </w:tc>
      </w:tr>
      <w:tr>
        <w:trPr>
          <w:cantSplit w:val="0"/>
          <w:trHeight w:val="20" w:hRule="atLeast"/>
          <w:tblHeader w:val="0"/>
        </w:trPr>
        <w:tc>
          <w:tcPr>
            <w:tcBorders>
              <w:top w:color="000000" w:space="0" w:sz="0" w:val="nil"/>
              <w:left w:color="000000" w:space="0" w:sz="4" w:val="single"/>
              <w:bottom w:color="000000" w:space="0" w:sz="4" w:val="single"/>
              <w:right w:color="000000" w:space="0" w:sz="0" w:val="nil"/>
            </w:tcBorders>
            <w:shd w:fill="000000" w:val="clear"/>
            <w:vAlign w:val="bottom"/>
          </w:tcPr>
          <w:p w:rsidR="00000000" w:rsidDel="00000000" w:rsidP="00000000" w:rsidRDefault="00000000" w:rsidRPr="00000000" w14:paraId="000000FB">
            <w:pPr>
              <w:spacing w:after="0" w:line="240" w:lineRule="auto"/>
              <w:rPr>
                <w:rFonts w:ascii="Calibri" w:cs="Calibri" w:eastAsia="Calibri" w:hAnsi="Calibri"/>
                <w:color w:val="ffffff"/>
                <w:sz w:val="18"/>
                <w:szCs w:val="18"/>
              </w:rPr>
            </w:pPr>
            <w:r w:rsidDel="00000000" w:rsidR="00000000" w:rsidRPr="00000000">
              <w:rPr>
                <w:rFonts w:ascii="Calibri" w:cs="Calibri" w:eastAsia="Calibri" w:hAnsi="Calibri"/>
                <w:color w:val="ffffff"/>
                <w:sz w:val="18"/>
                <w:szCs w:val="18"/>
                <w:rtl w:val="0"/>
              </w:rPr>
              <w:t xml:space="preserve"> </w:t>
            </w:r>
          </w:p>
        </w:tc>
        <w:tc>
          <w:tcPr>
            <w:tcBorders>
              <w:top w:color="000000" w:space="0" w:sz="0" w:val="nil"/>
              <w:left w:color="000000" w:space="0" w:sz="0" w:val="nil"/>
              <w:bottom w:color="000000" w:space="0" w:sz="4" w:val="single"/>
              <w:right w:color="000000" w:space="0" w:sz="0" w:val="nil"/>
            </w:tcBorders>
            <w:shd w:fill="000000" w:val="clear"/>
            <w:vAlign w:val="bottom"/>
          </w:tcPr>
          <w:p w:rsidR="00000000" w:rsidDel="00000000" w:rsidP="00000000" w:rsidRDefault="00000000" w:rsidRPr="00000000" w14:paraId="000000FC">
            <w:pPr>
              <w:spacing w:after="0" w:line="240" w:lineRule="auto"/>
              <w:rPr>
                <w:rFonts w:ascii="Calibri" w:cs="Calibri" w:eastAsia="Calibri" w:hAnsi="Calibri"/>
                <w:color w:val="ffffff"/>
                <w:sz w:val="18"/>
                <w:szCs w:val="18"/>
              </w:rPr>
            </w:pPr>
            <w:r w:rsidDel="00000000" w:rsidR="00000000" w:rsidRPr="00000000">
              <w:rPr>
                <w:rFonts w:ascii="Calibri" w:cs="Calibri" w:eastAsia="Calibri" w:hAnsi="Calibri"/>
                <w:color w:val="ffffff"/>
                <w:sz w:val="18"/>
                <w:szCs w:val="18"/>
                <w:rtl w:val="0"/>
              </w:rPr>
              <w:t xml:space="preserve"> </w:t>
            </w:r>
          </w:p>
        </w:tc>
        <w:tc>
          <w:tcPr>
            <w:tcBorders>
              <w:top w:color="000000" w:space="0" w:sz="0" w:val="nil"/>
              <w:left w:color="000000" w:space="0" w:sz="0" w:val="nil"/>
              <w:bottom w:color="000000" w:space="0" w:sz="4" w:val="single"/>
              <w:right w:color="000000" w:space="0" w:sz="0" w:val="nil"/>
            </w:tcBorders>
            <w:shd w:fill="000000" w:val="clear"/>
            <w:vAlign w:val="center"/>
          </w:tcPr>
          <w:p w:rsidR="00000000" w:rsidDel="00000000" w:rsidP="00000000" w:rsidRDefault="00000000" w:rsidRPr="00000000" w14:paraId="000000FD">
            <w:pPr>
              <w:spacing w:after="0" w:line="240" w:lineRule="auto"/>
              <w:jc w:val="right"/>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Total</w:t>
            </w:r>
          </w:p>
        </w:tc>
        <w:tc>
          <w:tcPr>
            <w:tcBorders>
              <w:top w:color="000000" w:space="0" w:sz="0" w:val="nil"/>
              <w:left w:color="000000" w:space="0" w:sz="0" w:val="nil"/>
              <w:bottom w:color="000000" w:space="0" w:sz="4" w:val="single"/>
              <w:right w:color="000000" w:space="0" w:sz="4" w:val="single"/>
            </w:tcBorders>
            <w:shd w:fill="000000" w:val="clear"/>
            <w:vAlign w:val="bottom"/>
          </w:tcPr>
          <w:p w:rsidR="00000000" w:rsidDel="00000000" w:rsidP="00000000" w:rsidRDefault="00000000" w:rsidRPr="00000000" w14:paraId="000000FE">
            <w:pPr>
              <w:spacing w:after="0" w:line="240" w:lineRule="auto"/>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$20MM funded; $105MM unfunded</w:t>
            </w:r>
          </w:p>
        </w:tc>
      </w:tr>
    </w:tbl>
    <w:p w:rsidR="00000000" w:rsidDel="00000000" w:rsidP="00000000" w:rsidRDefault="00000000" w:rsidRPr="00000000" w14:paraId="000000FF">
      <w:pP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 </w:t>
      </w:r>
    </w:p>
    <w:p w:rsidR="00000000" w:rsidDel="00000000" w:rsidP="00000000" w:rsidRDefault="00000000" w:rsidRPr="00000000" w14:paraId="00000100">
      <w:pPr>
        <w:pStyle w:val="Heading1"/>
        <w:pBdr>
          <w:bottom w:color="000000" w:space="1" w:sz="4" w:val="single"/>
        </w:pBd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Appendix 3: Contra-CoGS Leakages by Transaction Year</w:t>
      </w:r>
    </w:p>
    <w:p w:rsidR="00000000" w:rsidDel="00000000" w:rsidP="00000000" w:rsidRDefault="00000000" w:rsidRPr="00000000" w14:paraId="00000101">
      <w:pP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The following table illustrates the Contra-CoGS leakage recovered by internal and external audit teams for each transaction year. For 2019, we expect leakage recovery to exceed $262MM at an expense of $21MM in audit fees. Note that the amounts we recover today constitute the lower bound for leakages in our system they do not include (a) leakages that the audit teams decided to not to pursue (e.g. those under the $5K threshold), (b) leakage claims that the Retail teams requested to be dropped due to business reasons, and (c) leakages that the auditors failed to identify.</w:t>
      </w:r>
    </w:p>
    <w:p w:rsidR="00000000" w:rsidDel="00000000" w:rsidP="00000000" w:rsidRDefault="00000000" w:rsidRPr="00000000" w14:paraId="00000102">
      <w:pPr>
        <w:spacing w:after="0" w:lineRule="auto"/>
        <w:rPr>
          <w:b w:val="1"/>
          <w:bCs w:val="1"/>
          <w:color w:val="000000"/>
        </w:rPr>
      </w:pPr>
      <w:r w:rsidDel="00000000" w:rsidR="00000000" w:rsidRPr="00000000">
        <w:rPr>
          <w:b w:val="1"/>
          <w:bCs w:val="1"/>
          <w:color w:val="000000"/>
          <w:rtl w:val="0"/>
        </w:rPr>
        <w:t xml:space="preserve">Table 3: Contra-CoGS Leakage Recovery and Expenses by Year</w:t>
      </w:r>
    </w:p>
    <w:tbl>
      <w:tblPr>
        <w:tblStyle w:val="Table3"/>
        <w:tblW w:w="6395.0" w:type="dxa"/>
        <w:jc w:val="left"/>
        <w:tblLayout w:type="fixed"/>
        <w:tblLook w:val="0400"/>
      </w:tblPr>
      <w:tblGrid>
        <w:gridCol w:w="122"/>
        <w:gridCol w:w="3963"/>
        <w:gridCol w:w="710"/>
        <w:gridCol w:w="800"/>
        <w:gridCol w:w="800"/>
        <w:tblGridChange w:id="0">
          <w:tblGrid>
            <w:gridCol w:w="122"/>
            <w:gridCol w:w="3963"/>
            <w:gridCol w:w="710"/>
            <w:gridCol w:w="800"/>
            <w:gridCol w:w="800"/>
          </w:tblGrid>
        </w:tblGridChange>
      </w:tblGrid>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000000" w:val="clear"/>
            <w:tcMar>
              <w:top w:w="15.0" w:type="dxa"/>
              <w:left w:w="15.0" w:type="dxa"/>
              <w:bottom w:w="0.0" w:type="dxa"/>
              <w:right w:w="15.0" w:type="dxa"/>
            </w:tcMar>
            <w:vAlign w:val="center"/>
          </w:tcPr>
          <w:p w:rsidR="00000000" w:rsidDel="00000000" w:rsidP="00000000" w:rsidRDefault="00000000" w:rsidRPr="00000000" w14:paraId="00000103">
            <w:pPr>
              <w:jc w:val="center"/>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w:t>
            </w:r>
          </w:p>
        </w:tc>
        <w:tc>
          <w:tcPr>
            <w:tcBorders>
              <w:top w:color="000000" w:space="0" w:sz="8" w:val="single"/>
              <w:left w:color="000000" w:space="0" w:sz="0" w:val="nil"/>
              <w:bottom w:color="000000" w:space="0" w:sz="8" w:val="single"/>
              <w:right w:color="000000" w:space="0" w:sz="8" w:val="single"/>
            </w:tcBorders>
            <w:shd w:fill="000000" w:val="clear"/>
            <w:tcMar>
              <w:top w:w="15.0" w:type="dxa"/>
              <w:left w:w="15.0" w:type="dxa"/>
              <w:bottom w:w="0.0" w:type="dxa"/>
              <w:right w:w="15.0" w:type="dxa"/>
            </w:tcMar>
            <w:vAlign w:val="center"/>
          </w:tcPr>
          <w:p w:rsidR="00000000" w:rsidDel="00000000" w:rsidP="00000000" w:rsidRDefault="00000000" w:rsidRPr="00000000" w14:paraId="00000104">
            <w:pPr>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Transaction Year </w:t>
            </w:r>
          </w:p>
        </w:tc>
        <w:tc>
          <w:tcPr>
            <w:tcBorders>
              <w:top w:color="000000" w:space="0" w:sz="8" w:val="single"/>
              <w:left w:color="000000" w:space="0" w:sz="0" w:val="nil"/>
              <w:bottom w:color="000000" w:space="0" w:sz="8" w:val="single"/>
              <w:right w:color="000000" w:space="0" w:sz="8" w:val="single"/>
            </w:tcBorders>
            <w:shd w:fill="000000" w:val="clear"/>
            <w:tcMar>
              <w:top w:w="15.0" w:type="dxa"/>
              <w:left w:w="15.0" w:type="dxa"/>
              <w:bottom w:w="0.0" w:type="dxa"/>
              <w:right w:w="15.0" w:type="dxa"/>
            </w:tcMar>
            <w:vAlign w:val="center"/>
          </w:tcPr>
          <w:p w:rsidR="00000000" w:rsidDel="00000000" w:rsidP="00000000" w:rsidRDefault="00000000" w:rsidRPr="00000000" w14:paraId="00000105">
            <w:pPr>
              <w:jc w:val="center"/>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2016</w:t>
            </w:r>
          </w:p>
        </w:tc>
        <w:tc>
          <w:tcPr>
            <w:tcBorders>
              <w:top w:color="000000" w:space="0" w:sz="8" w:val="single"/>
              <w:left w:color="000000" w:space="0" w:sz="0" w:val="nil"/>
              <w:bottom w:color="000000" w:space="0" w:sz="8" w:val="single"/>
              <w:right w:color="000000" w:space="0" w:sz="8" w:val="single"/>
            </w:tcBorders>
            <w:shd w:fill="000000" w:val="clear"/>
            <w:tcMar>
              <w:top w:w="15.0" w:type="dxa"/>
              <w:left w:w="15.0" w:type="dxa"/>
              <w:bottom w:w="0.0" w:type="dxa"/>
              <w:right w:w="15.0" w:type="dxa"/>
            </w:tcMar>
            <w:vAlign w:val="center"/>
          </w:tcPr>
          <w:p w:rsidR="00000000" w:rsidDel="00000000" w:rsidP="00000000" w:rsidRDefault="00000000" w:rsidRPr="00000000" w14:paraId="00000106">
            <w:pPr>
              <w:jc w:val="center"/>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2017</w:t>
            </w:r>
          </w:p>
        </w:tc>
        <w:tc>
          <w:tcPr>
            <w:tcBorders>
              <w:top w:color="000000" w:space="0" w:sz="8" w:val="single"/>
              <w:left w:color="000000" w:space="0" w:sz="0" w:val="nil"/>
              <w:bottom w:color="000000" w:space="0" w:sz="8" w:val="single"/>
              <w:right w:color="000000" w:space="0" w:sz="8" w:val="single"/>
            </w:tcBorders>
            <w:shd w:fill="000000" w:val="clear"/>
            <w:tcMar>
              <w:top w:w="15.0" w:type="dxa"/>
              <w:left w:w="15.0" w:type="dxa"/>
              <w:bottom w:w="0.0" w:type="dxa"/>
              <w:right w:w="15.0" w:type="dxa"/>
            </w:tcMar>
            <w:vAlign w:val="center"/>
          </w:tcPr>
          <w:p w:rsidR="00000000" w:rsidDel="00000000" w:rsidP="00000000" w:rsidRDefault="00000000" w:rsidRPr="00000000" w14:paraId="00000107">
            <w:pPr>
              <w:jc w:val="center"/>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2018</w:t>
            </w:r>
          </w:p>
        </w:tc>
      </w:tr>
      <w:tr>
        <w:trPr>
          <w:cantSplit w:val="0"/>
          <w:trHeight w:val="20" w:hRule="atLeast"/>
          <w:tblHeader w:val="0"/>
        </w:trPr>
        <w:tc>
          <w:tcPr>
            <w:tcBorders>
              <w:top w:color="000000" w:space="0" w:sz="0" w:val="nil"/>
              <w:left w:color="000000" w:space="0" w:sz="8" w:val="single"/>
              <w:bottom w:color="000000" w:space="0" w:sz="8" w:val="single"/>
              <w:right w:color="000000" w:space="0" w:sz="8" w:val="single"/>
            </w:tcBorders>
            <w:shd w:fill="000000" w:val="clear"/>
            <w:tcMar>
              <w:top w:w="15.0" w:type="dxa"/>
              <w:left w:w="15.0" w:type="dxa"/>
              <w:bottom w:w="0.0" w:type="dxa"/>
              <w:right w:w="15.0" w:type="dxa"/>
            </w:tcMar>
            <w:vAlign w:val="center"/>
          </w:tcPr>
          <w:p w:rsidR="00000000" w:rsidDel="00000000" w:rsidP="00000000" w:rsidRDefault="00000000" w:rsidRPr="00000000" w14:paraId="00000108">
            <w:pPr>
              <w:jc w:val="center"/>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1</w:t>
            </w:r>
          </w:p>
        </w:tc>
        <w:tc>
          <w:tcPr>
            <w:tcBorders>
              <w:top w:color="000000" w:space="0" w:sz="0" w:val="nil"/>
              <w:left w:color="000000" w:space="0" w:sz="0" w:val="nil"/>
              <w:bottom w:color="000000" w:space="0" w:sz="8" w:val="single"/>
              <w:right w:color="000000" w:space="0" w:sz="8" w:val="single"/>
            </w:tcBorders>
            <w:shd w:fill="d0cece" w:val="clear"/>
            <w:tcMar>
              <w:top w:w="15.0" w:type="dxa"/>
              <w:left w:w="15.0" w:type="dxa"/>
              <w:bottom w:w="0.0" w:type="dxa"/>
              <w:right w:w="15.0" w:type="dxa"/>
            </w:tcMar>
            <w:vAlign w:val="center"/>
          </w:tcPr>
          <w:p w:rsidR="00000000" w:rsidDel="00000000" w:rsidP="00000000" w:rsidRDefault="00000000" w:rsidRPr="00000000" w14:paraId="00000109">
            <w:pP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Contra-CoGS billing via system</w:t>
            </w:r>
          </w:p>
        </w:tc>
        <w:tc>
          <w:tcPr>
            <w:tcBorders>
              <w:top w:color="000000" w:space="0" w:sz="0" w:val="nil"/>
              <w:left w:color="000000" w:space="0" w:sz="0" w:val="nil"/>
              <w:bottom w:color="000000" w:space="0" w:sz="8" w:val="single"/>
              <w:right w:color="000000" w:space="0" w:sz="8" w:val="single"/>
            </w:tcBorders>
            <w:shd w:fill="d0cece" w:val="clear"/>
            <w:tcMar>
              <w:top w:w="15.0" w:type="dxa"/>
              <w:left w:w="15.0" w:type="dxa"/>
              <w:bottom w:w="0.0" w:type="dxa"/>
              <w:right w:w="15.0" w:type="dxa"/>
            </w:tcMar>
            <w:vAlign w:val="center"/>
          </w:tcPr>
          <w:p w:rsidR="00000000" w:rsidDel="00000000" w:rsidP="00000000" w:rsidRDefault="00000000" w:rsidRPr="00000000" w14:paraId="0000010A">
            <w:pPr>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$5.6B</w:t>
            </w:r>
          </w:p>
        </w:tc>
        <w:tc>
          <w:tcPr>
            <w:tcBorders>
              <w:top w:color="000000" w:space="0" w:sz="0" w:val="nil"/>
              <w:left w:color="000000" w:space="0" w:sz="0" w:val="nil"/>
              <w:bottom w:color="000000" w:space="0" w:sz="8" w:val="single"/>
              <w:right w:color="000000" w:space="0" w:sz="8" w:val="single"/>
            </w:tcBorders>
            <w:shd w:fill="d0cece" w:val="clear"/>
            <w:tcMar>
              <w:top w:w="15.0" w:type="dxa"/>
              <w:left w:w="15.0" w:type="dxa"/>
              <w:bottom w:w="0.0" w:type="dxa"/>
              <w:right w:w="15.0" w:type="dxa"/>
            </w:tcMar>
            <w:vAlign w:val="center"/>
          </w:tcPr>
          <w:p w:rsidR="00000000" w:rsidDel="00000000" w:rsidP="00000000" w:rsidRDefault="00000000" w:rsidRPr="00000000" w14:paraId="0000010B">
            <w:pPr>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$12.9B</w:t>
            </w:r>
          </w:p>
        </w:tc>
        <w:tc>
          <w:tcPr>
            <w:tcBorders>
              <w:top w:color="000000" w:space="0" w:sz="0" w:val="nil"/>
              <w:left w:color="000000" w:space="0" w:sz="0" w:val="nil"/>
              <w:bottom w:color="000000" w:space="0" w:sz="8" w:val="single"/>
              <w:right w:color="000000" w:space="0" w:sz="8" w:val="single"/>
            </w:tcBorders>
            <w:shd w:fill="d0cece" w:val="clear"/>
            <w:tcMar>
              <w:top w:w="15.0" w:type="dxa"/>
              <w:left w:w="15.0" w:type="dxa"/>
              <w:bottom w:w="0.0" w:type="dxa"/>
              <w:right w:w="15.0" w:type="dxa"/>
            </w:tcMar>
            <w:vAlign w:val="center"/>
          </w:tcPr>
          <w:p w:rsidR="00000000" w:rsidDel="00000000" w:rsidP="00000000" w:rsidRDefault="00000000" w:rsidRPr="00000000" w14:paraId="0000010C">
            <w:pPr>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$17.0B</w:t>
            </w:r>
          </w:p>
        </w:tc>
      </w:tr>
      <w:tr>
        <w:trPr>
          <w:cantSplit w:val="0"/>
          <w:trHeight w:val="20" w:hRule="atLeast"/>
          <w:tblHeader w:val="0"/>
        </w:trPr>
        <w:tc>
          <w:tcPr>
            <w:tcBorders>
              <w:top w:color="000000" w:space="0" w:sz="0" w:val="nil"/>
              <w:left w:color="000000" w:space="0" w:sz="8" w:val="single"/>
              <w:bottom w:color="000000" w:space="0" w:sz="8" w:val="single"/>
              <w:right w:color="000000" w:space="0" w:sz="8" w:val="single"/>
            </w:tcBorders>
            <w:shd w:fill="000000" w:val="clear"/>
            <w:tcMar>
              <w:top w:w="15.0" w:type="dxa"/>
              <w:left w:w="15.0" w:type="dxa"/>
              <w:bottom w:w="0.0" w:type="dxa"/>
              <w:right w:w="15.0" w:type="dxa"/>
            </w:tcMar>
            <w:vAlign w:val="center"/>
          </w:tcPr>
          <w:p w:rsidR="00000000" w:rsidDel="00000000" w:rsidP="00000000" w:rsidRDefault="00000000" w:rsidRPr="00000000" w14:paraId="0000010D">
            <w:pPr>
              <w:jc w:val="center"/>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15.0" w:type="dxa"/>
              <w:left w:w="15.0" w:type="dxa"/>
              <w:bottom w:w="0.0" w:type="dxa"/>
              <w:right w:w="15.0" w:type="dxa"/>
            </w:tcMar>
            <w:vAlign w:val="center"/>
          </w:tcPr>
          <w:p w:rsidR="00000000" w:rsidDel="00000000" w:rsidP="00000000" w:rsidRDefault="00000000" w:rsidRPr="00000000" w14:paraId="0000010E">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Internal Audit recovery</w:t>
            </w:r>
          </w:p>
        </w:tc>
        <w:tc>
          <w:tcPr>
            <w:tcBorders>
              <w:top w:color="000000" w:space="0" w:sz="0" w:val="nil"/>
              <w:left w:color="000000" w:space="0" w:sz="0" w:val="nil"/>
              <w:bottom w:color="000000" w:space="0" w:sz="8" w:val="single"/>
              <w:right w:color="000000" w:space="0" w:sz="8" w:val="single"/>
            </w:tcBorders>
            <w:shd w:fill="auto" w:val="clear"/>
            <w:tcMar>
              <w:top w:w="15.0" w:type="dxa"/>
              <w:left w:w="15.0" w:type="dxa"/>
              <w:bottom w:w="0.0" w:type="dxa"/>
              <w:right w:w="15.0" w:type="dxa"/>
            </w:tcMar>
            <w:vAlign w:val="center"/>
          </w:tcPr>
          <w:p w:rsidR="00000000" w:rsidDel="00000000" w:rsidP="00000000" w:rsidRDefault="00000000" w:rsidRPr="00000000" w14:paraId="0000010F">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$24MM </w:t>
            </w:r>
          </w:p>
        </w:tc>
        <w:tc>
          <w:tcPr>
            <w:tcBorders>
              <w:top w:color="000000" w:space="0" w:sz="0" w:val="nil"/>
              <w:left w:color="000000" w:space="0" w:sz="0" w:val="nil"/>
              <w:bottom w:color="000000" w:space="0" w:sz="8" w:val="single"/>
              <w:right w:color="000000" w:space="0" w:sz="8" w:val="single"/>
            </w:tcBorders>
            <w:shd w:fill="auto" w:val="clear"/>
            <w:tcMar>
              <w:top w:w="15.0" w:type="dxa"/>
              <w:left w:w="15.0" w:type="dxa"/>
              <w:bottom w:w="0.0" w:type="dxa"/>
              <w:right w:w="15.0" w:type="dxa"/>
            </w:tcMar>
            <w:vAlign w:val="center"/>
          </w:tcPr>
          <w:p w:rsidR="00000000" w:rsidDel="00000000" w:rsidP="00000000" w:rsidRDefault="00000000" w:rsidRPr="00000000" w14:paraId="00000110">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$63MM </w:t>
            </w:r>
          </w:p>
        </w:tc>
        <w:tc>
          <w:tcPr>
            <w:tcBorders>
              <w:top w:color="000000" w:space="0" w:sz="0" w:val="nil"/>
              <w:left w:color="000000" w:space="0" w:sz="0" w:val="nil"/>
              <w:bottom w:color="000000" w:space="0" w:sz="8" w:val="single"/>
              <w:right w:color="000000" w:space="0" w:sz="8" w:val="single"/>
            </w:tcBorders>
            <w:shd w:fill="auto" w:val="clear"/>
            <w:tcMar>
              <w:top w:w="15.0" w:type="dxa"/>
              <w:left w:w="15.0" w:type="dxa"/>
              <w:bottom w:w="0.0" w:type="dxa"/>
              <w:right w:w="15.0" w:type="dxa"/>
            </w:tcMar>
            <w:vAlign w:val="center"/>
          </w:tcPr>
          <w:p w:rsidR="00000000" w:rsidDel="00000000" w:rsidP="00000000" w:rsidRDefault="00000000" w:rsidRPr="00000000" w14:paraId="00000111">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$76MM* </w:t>
            </w:r>
          </w:p>
        </w:tc>
      </w:tr>
      <w:tr>
        <w:trPr>
          <w:cantSplit w:val="0"/>
          <w:trHeight w:val="20" w:hRule="atLeast"/>
          <w:tblHeader w:val="0"/>
        </w:trPr>
        <w:tc>
          <w:tcPr>
            <w:tcBorders>
              <w:top w:color="000000" w:space="0" w:sz="0" w:val="nil"/>
              <w:left w:color="000000" w:space="0" w:sz="8" w:val="single"/>
              <w:bottom w:color="000000" w:space="0" w:sz="8" w:val="single"/>
              <w:right w:color="000000" w:space="0" w:sz="8" w:val="single"/>
            </w:tcBorders>
            <w:shd w:fill="000000" w:val="clear"/>
            <w:tcMar>
              <w:top w:w="15.0" w:type="dxa"/>
              <w:left w:w="15.0" w:type="dxa"/>
              <w:bottom w:w="0.0" w:type="dxa"/>
              <w:right w:w="15.0" w:type="dxa"/>
            </w:tcMar>
            <w:vAlign w:val="center"/>
          </w:tcPr>
          <w:p w:rsidR="00000000" w:rsidDel="00000000" w:rsidP="00000000" w:rsidRDefault="00000000" w:rsidRPr="00000000" w14:paraId="00000112">
            <w:pPr>
              <w:jc w:val="center"/>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15.0" w:type="dxa"/>
              <w:left w:w="15.0" w:type="dxa"/>
              <w:bottom w:w="0.0" w:type="dxa"/>
              <w:right w:w="15.0" w:type="dxa"/>
            </w:tcMar>
            <w:vAlign w:val="center"/>
          </w:tcPr>
          <w:p w:rsidR="00000000" w:rsidDel="00000000" w:rsidP="00000000" w:rsidRDefault="00000000" w:rsidRPr="00000000" w14:paraId="00000113">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External Audit recovery</w:t>
            </w:r>
          </w:p>
        </w:tc>
        <w:tc>
          <w:tcPr>
            <w:tcBorders>
              <w:top w:color="000000" w:space="0" w:sz="0" w:val="nil"/>
              <w:left w:color="000000" w:space="0" w:sz="0" w:val="nil"/>
              <w:bottom w:color="000000" w:space="0" w:sz="8" w:val="single"/>
              <w:right w:color="000000" w:space="0" w:sz="8" w:val="single"/>
            </w:tcBorders>
            <w:shd w:fill="auto" w:val="clear"/>
            <w:tcMar>
              <w:top w:w="15.0" w:type="dxa"/>
              <w:left w:w="15.0" w:type="dxa"/>
              <w:bottom w:w="0.0" w:type="dxa"/>
              <w:right w:w="15.0" w:type="dxa"/>
            </w:tcMar>
            <w:vAlign w:val="center"/>
          </w:tcPr>
          <w:p w:rsidR="00000000" w:rsidDel="00000000" w:rsidP="00000000" w:rsidRDefault="00000000" w:rsidRPr="00000000" w14:paraId="00000114">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$130MM</w:t>
            </w:r>
          </w:p>
        </w:tc>
        <w:tc>
          <w:tcPr>
            <w:tcBorders>
              <w:top w:color="000000" w:space="0" w:sz="0" w:val="nil"/>
              <w:left w:color="000000" w:space="0" w:sz="0" w:val="nil"/>
              <w:bottom w:color="000000" w:space="0" w:sz="8" w:val="single"/>
              <w:right w:color="000000" w:space="0" w:sz="8" w:val="single"/>
            </w:tcBorders>
            <w:shd w:fill="auto" w:val="clear"/>
            <w:tcMar>
              <w:top w:w="15.0" w:type="dxa"/>
              <w:left w:w="15.0" w:type="dxa"/>
              <w:bottom w:w="0.0" w:type="dxa"/>
              <w:right w:w="15.0" w:type="dxa"/>
            </w:tcMar>
            <w:vAlign w:val="center"/>
          </w:tcPr>
          <w:p w:rsidR="00000000" w:rsidDel="00000000" w:rsidP="00000000" w:rsidRDefault="00000000" w:rsidRPr="00000000" w14:paraId="00000115">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$183MM*</w:t>
            </w:r>
          </w:p>
        </w:tc>
        <w:tc>
          <w:tcPr>
            <w:tcBorders>
              <w:top w:color="000000" w:space="0" w:sz="0" w:val="nil"/>
              <w:left w:color="000000" w:space="0" w:sz="0" w:val="nil"/>
              <w:bottom w:color="000000" w:space="0" w:sz="8" w:val="single"/>
              <w:right w:color="000000" w:space="0" w:sz="8" w:val="single"/>
            </w:tcBorders>
            <w:shd w:fill="auto" w:val="clear"/>
            <w:tcMar>
              <w:top w:w="15.0" w:type="dxa"/>
              <w:left w:w="15.0" w:type="dxa"/>
              <w:bottom w:w="0.0" w:type="dxa"/>
              <w:right w:w="15.0" w:type="dxa"/>
            </w:tcMar>
            <w:vAlign w:val="center"/>
          </w:tcPr>
          <w:p w:rsidR="00000000" w:rsidDel="00000000" w:rsidP="00000000" w:rsidRDefault="00000000" w:rsidRPr="00000000" w14:paraId="00000116">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$65MM*</w:t>
            </w:r>
          </w:p>
        </w:tc>
      </w:tr>
      <w:tr>
        <w:trPr>
          <w:cantSplit w:val="0"/>
          <w:trHeight w:val="20" w:hRule="atLeast"/>
          <w:tblHeader w:val="0"/>
        </w:trPr>
        <w:tc>
          <w:tcPr>
            <w:tcBorders>
              <w:top w:color="000000" w:space="0" w:sz="0" w:val="nil"/>
              <w:left w:color="000000" w:space="0" w:sz="8" w:val="single"/>
              <w:bottom w:color="000000" w:space="0" w:sz="8" w:val="single"/>
              <w:right w:color="000000" w:space="0" w:sz="8" w:val="single"/>
            </w:tcBorders>
            <w:shd w:fill="000000" w:val="clear"/>
            <w:tcMar>
              <w:top w:w="15.0" w:type="dxa"/>
              <w:left w:w="15.0" w:type="dxa"/>
              <w:bottom w:w="0.0" w:type="dxa"/>
              <w:right w:w="15.0" w:type="dxa"/>
            </w:tcMar>
            <w:vAlign w:val="center"/>
          </w:tcPr>
          <w:p w:rsidR="00000000" w:rsidDel="00000000" w:rsidP="00000000" w:rsidRDefault="00000000" w:rsidRPr="00000000" w14:paraId="00000117">
            <w:pPr>
              <w:jc w:val="center"/>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4</w:t>
            </w:r>
          </w:p>
        </w:tc>
        <w:tc>
          <w:tcPr>
            <w:tcBorders>
              <w:top w:color="000000" w:space="0" w:sz="0" w:val="nil"/>
              <w:left w:color="000000" w:space="0" w:sz="0" w:val="nil"/>
              <w:bottom w:color="000000" w:space="0" w:sz="8" w:val="single"/>
              <w:right w:color="000000" w:space="0" w:sz="8" w:val="single"/>
            </w:tcBorders>
            <w:shd w:fill="d0cece" w:val="clear"/>
            <w:tcMar>
              <w:top w:w="15.0" w:type="dxa"/>
              <w:left w:w="15.0" w:type="dxa"/>
              <w:bottom w:w="0.0" w:type="dxa"/>
              <w:right w:w="15.0" w:type="dxa"/>
            </w:tcMar>
            <w:vAlign w:val="center"/>
          </w:tcPr>
          <w:p w:rsidR="00000000" w:rsidDel="00000000" w:rsidP="00000000" w:rsidRDefault="00000000" w:rsidRPr="00000000" w14:paraId="00000118">
            <w:pP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Total leakage recovery</w:t>
            </w:r>
          </w:p>
        </w:tc>
        <w:tc>
          <w:tcPr>
            <w:tcBorders>
              <w:top w:color="000000" w:space="0" w:sz="0" w:val="nil"/>
              <w:left w:color="000000" w:space="0" w:sz="0" w:val="nil"/>
              <w:bottom w:color="000000" w:space="0" w:sz="8" w:val="single"/>
              <w:right w:color="000000" w:space="0" w:sz="8" w:val="single"/>
            </w:tcBorders>
            <w:shd w:fill="d0cece" w:val="clear"/>
            <w:tcMar>
              <w:top w:w="15.0" w:type="dxa"/>
              <w:left w:w="15.0" w:type="dxa"/>
              <w:bottom w:w="0.0" w:type="dxa"/>
              <w:right w:w="15.0" w:type="dxa"/>
            </w:tcMar>
            <w:vAlign w:val="center"/>
          </w:tcPr>
          <w:p w:rsidR="00000000" w:rsidDel="00000000" w:rsidP="00000000" w:rsidRDefault="00000000" w:rsidRPr="00000000" w14:paraId="00000119">
            <w:pPr>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$154MM</w:t>
            </w:r>
          </w:p>
        </w:tc>
        <w:tc>
          <w:tcPr>
            <w:tcBorders>
              <w:top w:color="000000" w:space="0" w:sz="0" w:val="nil"/>
              <w:left w:color="000000" w:space="0" w:sz="0" w:val="nil"/>
              <w:bottom w:color="000000" w:space="0" w:sz="8" w:val="single"/>
              <w:right w:color="000000" w:space="0" w:sz="8" w:val="single"/>
            </w:tcBorders>
            <w:shd w:fill="d0cece" w:val="clear"/>
            <w:tcMar>
              <w:top w:w="15.0" w:type="dxa"/>
              <w:left w:w="15.0" w:type="dxa"/>
              <w:bottom w:w="0.0" w:type="dxa"/>
              <w:right w:w="15.0" w:type="dxa"/>
            </w:tcMar>
            <w:vAlign w:val="center"/>
          </w:tcPr>
          <w:p w:rsidR="00000000" w:rsidDel="00000000" w:rsidP="00000000" w:rsidRDefault="00000000" w:rsidRPr="00000000" w14:paraId="0000011A">
            <w:pPr>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$246MM</w:t>
            </w:r>
            <w:r w:rsidDel="00000000" w:rsidR="00000000" w:rsidRPr="00000000">
              <w:rPr>
                <w:rFonts w:ascii="Calibri" w:cs="Calibri" w:eastAsia="Calibri" w:hAnsi="Calibri"/>
                <w:color w:val="000000"/>
                <w:sz w:val="18"/>
                <w:szCs w:val="18"/>
                <w:rtl w:val="0"/>
              </w:rPr>
              <w:t xml:space="preserve">*</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d0cece" w:val="clear"/>
            <w:tcMar>
              <w:top w:w="15.0" w:type="dxa"/>
              <w:left w:w="15.0" w:type="dxa"/>
              <w:bottom w:w="0.0" w:type="dxa"/>
              <w:right w:w="15.0" w:type="dxa"/>
            </w:tcMar>
            <w:vAlign w:val="center"/>
          </w:tcPr>
          <w:p w:rsidR="00000000" w:rsidDel="00000000" w:rsidP="00000000" w:rsidRDefault="00000000" w:rsidRPr="00000000" w14:paraId="0000011B">
            <w:pPr>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$141MM</w:t>
            </w:r>
            <w:r w:rsidDel="00000000" w:rsidR="00000000" w:rsidRPr="00000000">
              <w:rPr>
                <w:rFonts w:ascii="Calibri" w:cs="Calibri" w:eastAsia="Calibri" w:hAnsi="Calibri"/>
                <w:color w:val="000000"/>
                <w:sz w:val="18"/>
                <w:szCs w:val="18"/>
                <w:rtl w:val="0"/>
              </w:rPr>
              <w:t xml:space="preserve">*</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8" w:val="single"/>
              <w:right w:color="000000" w:space="0" w:sz="8" w:val="single"/>
            </w:tcBorders>
            <w:shd w:fill="000000" w:val="clear"/>
            <w:tcMar>
              <w:top w:w="15.0" w:type="dxa"/>
              <w:left w:w="15.0" w:type="dxa"/>
              <w:bottom w:w="0.0" w:type="dxa"/>
              <w:right w:w="15.0" w:type="dxa"/>
            </w:tcMar>
            <w:vAlign w:val="center"/>
          </w:tcPr>
          <w:p w:rsidR="00000000" w:rsidDel="00000000" w:rsidP="00000000" w:rsidRDefault="00000000" w:rsidRPr="00000000" w14:paraId="0000011C">
            <w:pPr>
              <w:jc w:val="center"/>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15.0" w:type="dxa"/>
              <w:left w:w="15.0" w:type="dxa"/>
              <w:bottom w:w="0.0" w:type="dxa"/>
              <w:right w:w="15.0" w:type="dxa"/>
            </w:tcMar>
            <w:vAlign w:val="center"/>
          </w:tcPr>
          <w:p w:rsidR="00000000" w:rsidDel="00000000" w:rsidP="00000000" w:rsidRDefault="00000000" w:rsidRPr="00000000" w14:paraId="0000011D">
            <w:pP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Audit Expenditure (incl. internal and external audits)</w:t>
            </w:r>
          </w:p>
        </w:tc>
        <w:tc>
          <w:tcPr>
            <w:tcBorders>
              <w:top w:color="000000" w:space="0" w:sz="0" w:val="nil"/>
              <w:left w:color="000000" w:space="0" w:sz="0" w:val="nil"/>
              <w:bottom w:color="000000" w:space="0" w:sz="8" w:val="single"/>
              <w:right w:color="000000" w:space="0" w:sz="8" w:val="single"/>
            </w:tcBorders>
            <w:shd w:fill="auto" w:val="clear"/>
            <w:tcMar>
              <w:top w:w="15.0" w:type="dxa"/>
              <w:left w:w="15.0" w:type="dxa"/>
              <w:bottom w:w="0.0" w:type="dxa"/>
              <w:right w:w="15.0" w:type="dxa"/>
            </w:tcMar>
            <w:vAlign w:val="center"/>
          </w:tcPr>
          <w:p w:rsidR="00000000" w:rsidDel="00000000" w:rsidP="00000000" w:rsidRDefault="00000000" w:rsidRPr="00000000" w14:paraId="0000011E">
            <w:pPr>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$13MM</w:t>
            </w:r>
          </w:p>
        </w:tc>
        <w:tc>
          <w:tcPr>
            <w:tcBorders>
              <w:top w:color="000000" w:space="0" w:sz="0" w:val="nil"/>
              <w:left w:color="000000" w:space="0" w:sz="0" w:val="nil"/>
              <w:bottom w:color="000000" w:space="0" w:sz="8" w:val="single"/>
              <w:right w:color="000000" w:space="0" w:sz="8" w:val="single"/>
            </w:tcBorders>
            <w:shd w:fill="auto" w:val="clear"/>
            <w:tcMar>
              <w:top w:w="15.0" w:type="dxa"/>
              <w:left w:w="15.0" w:type="dxa"/>
              <w:bottom w:w="0.0" w:type="dxa"/>
              <w:right w:w="15.0" w:type="dxa"/>
            </w:tcMar>
            <w:vAlign w:val="center"/>
          </w:tcPr>
          <w:p w:rsidR="00000000" w:rsidDel="00000000" w:rsidP="00000000" w:rsidRDefault="00000000" w:rsidRPr="00000000" w14:paraId="0000011F">
            <w:pPr>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$19MM*</w:t>
            </w:r>
          </w:p>
        </w:tc>
        <w:tc>
          <w:tcPr>
            <w:tcBorders>
              <w:top w:color="000000" w:space="0" w:sz="0" w:val="nil"/>
              <w:left w:color="000000" w:space="0" w:sz="0" w:val="nil"/>
              <w:bottom w:color="000000" w:space="0" w:sz="8" w:val="single"/>
              <w:right w:color="000000" w:space="0" w:sz="8" w:val="single"/>
            </w:tcBorders>
            <w:shd w:fill="auto" w:val="clear"/>
            <w:tcMar>
              <w:top w:w="15.0" w:type="dxa"/>
              <w:left w:w="15.0" w:type="dxa"/>
              <w:bottom w:w="0.0" w:type="dxa"/>
              <w:right w:w="15.0" w:type="dxa"/>
            </w:tcMar>
            <w:vAlign w:val="center"/>
          </w:tcPr>
          <w:p w:rsidR="00000000" w:rsidDel="00000000" w:rsidP="00000000" w:rsidRDefault="00000000" w:rsidRPr="00000000" w14:paraId="00000120">
            <w:pPr>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$7MM*</w:t>
            </w:r>
          </w:p>
        </w:tc>
      </w:tr>
      <w:tr>
        <w:trPr>
          <w:cantSplit w:val="0"/>
          <w:trHeight w:val="20" w:hRule="atLeast"/>
          <w:tblHeader w:val="0"/>
        </w:trPr>
        <w:tc>
          <w:tcPr>
            <w:tcBorders>
              <w:top w:color="000000" w:space="0" w:sz="0" w:val="nil"/>
              <w:left w:color="000000" w:space="0" w:sz="8" w:val="single"/>
              <w:bottom w:color="000000" w:space="0" w:sz="8" w:val="single"/>
              <w:right w:color="000000" w:space="0" w:sz="8" w:val="single"/>
            </w:tcBorders>
            <w:shd w:fill="000000" w:val="clear"/>
            <w:tcMar>
              <w:top w:w="15.0" w:type="dxa"/>
              <w:left w:w="15.0" w:type="dxa"/>
              <w:bottom w:w="0.0" w:type="dxa"/>
              <w:right w:w="15.0" w:type="dxa"/>
            </w:tcMar>
            <w:vAlign w:val="center"/>
          </w:tcPr>
          <w:p w:rsidR="00000000" w:rsidDel="00000000" w:rsidP="00000000" w:rsidRDefault="00000000" w:rsidRPr="00000000" w14:paraId="00000121">
            <w:pPr>
              <w:jc w:val="center"/>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 </w:t>
            </w:r>
          </w:p>
        </w:tc>
        <w:tc>
          <w:tcPr>
            <w:tcBorders>
              <w:top w:color="000000" w:space="0" w:sz="0" w:val="nil"/>
              <w:left w:color="000000" w:space="0" w:sz="0" w:val="nil"/>
              <w:bottom w:color="000000" w:space="0" w:sz="8" w:val="single"/>
              <w:right w:color="000000" w:space="0" w:sz="0" w:val="nil"/>
            </w:tcBorders>
            <w:shd w:fill="000000" w:val="clear"/>
            <w:tcMar>
              <w:top w:w="15.0" w:type="dxa"/>
              <w:left w:w="15.0" w:type="dxa"/>
              <w:bottom w:w="0.0" w:type="dxa"/>
              <w:right w:w="15.0" w:type="dxa"/>
            </w:tcMar>
            <w:vAlign w:val="center"/>
          </w:tcPr>
          <w:p w:rsidR="00000000" w:rsidDel="00000000" w:rsidP="00000000" w:rsidRDefault="00000000" w:rsidRPr="00000000" w14:paraId="00000122">
            <w:pPr>
              <w:jc w:val="right"/>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Leakage Rate (%)</w:t>
            </w:r>
          </w:p>
        </w:tc>
        <w:tc>
          <w:tcPr>
            <w:tcBorders>
              <w:top w:color="000000" w:space="0" w:sz="0" w:val="nil"/>
              <w:left w:color="000000" w:space="0" w:sz="0" w:val="nil"/>
              <w:bottom w:color="000000" w:space="0" w:sz="8" w:val="single"/>
              <w:right w:color="000000" w:space="0" w:sz="0" w:val="nil"/>
            </w:tcBorders>
            <w:shd w:fill="000000" w:val="clear"/>
            <w:tcMar>
              <w:top w:w="15.0" w:type="dxa"/>
              <w:left w:w="15.0" w:type="dxa"/>
              <w:bottom w:w="0.0" w:type="dxa"/>
              <w:right w:w="15.0" w:type="dxa"/>
            </w:tcMar>
            <w:vAlign w:val="center"/>
          </w:tcPr>
          <w:p w:rsidR="00000000" w:rsidDel="00000000" w:rsidP="00000000" w:rsidRDefault="00000000" w:rsidRPr="00000000" w14:paraId="00000123">
            <w:pPr>
              <w:jc w:val="center"/>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2.76%</w:t>
            </w:r>
          </w:p>
        </w:tc>
        <w:tc>
          <w:tcPr>
            <w:tcBorders>
              <w:top w:color="000000" w:space="0" w:sz="0" w:val="nil"/>
              <w:left w:color="000000" w:space="0" w:sz="0" w:val="nil"/>
              <w:bottom w:color="000000" w:space="0" w:sz="8" w:val="single"/>
              <w:right w:color="000000" w:space="0" w:sz="8" w:val="single"/>
            </w:tcBorders>
            <w:shd w:fill="000000" w:val="clear"/>
            <w:tcMar>
              <w:top w:w="15.0" w:type="dxa"/>
              <w:left w:w="15.0" w:type="dxa"/>
              <w:bottom w:w="0.0" w:type="dxa"/>
              <w:right w:w="15.0" w:type="dxa"/>
            </w:tcMar>
            <w:vAlign w:val="center"/>
          </w:tcPr>
          <w:p w:rsidR="00000000" w:rsidDel="00000000" w:rsidP="00000000" w:rsidRDefault="00000000" w:rsidRPr="00000000" w14:paraId="00000124">
            <w:pPr>
              <w:jc w:val="center"/>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1.91%</w:t>
            </w:r>
          </w:p>
        </w:tc>
        <w:tc>
          <w:tcPr>
            <w:tcBorders>
              <w:top w:color="000000" w:space="0" w:sz="0" w:val="nil"/>
              <w:left w:color="000000" w:space="0" w:sz="0" w:val="nil"/>
              <w:bottom w:color="000000" w:space="0" w:sz="8" w:val="single"/>
              <w:right w:color="000000" w:space="0" w:sz="8" w:val="single"/>
            </w:tcBorders>
            <w:shd w:fill="000000" w:val="clear"/>
            <w:tcMar>
              <w:top w:w="15.0" w:type="dxa"/>
              <w:left w:w="15.0" w:type="dxa"/>
              <w:bottom w:w="0.0" w:type="dxa"/>
              <w:right w:w="15.0" w:type="dxa"/>
            </w:tcMar>
            <w:vAlign w:val="center"/>
          </w:tcPr>
          <w:p w:rsidR="00000000" w:rsidDel="00000000" w:rsidP="00000000" w:rsidRDefault="00000000" w:rsidRPr="00000000" w14:paraId="00000125">
            <w:pPr>
              <w:jc w:val="center"/>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0.84%</w:t>
            </w:r>
          </w:p>
        </w:tc>
      </w:tr>
    </w:tbl>
    <w:p w:rsidR="00000000" w:rsidDel="00000000" w:rsidP="00000000" w:rsidRDefault="00000000" w:rsidRPr="00000000" w14:paraId="00000126">
      <w:pPr>
        <w:spacing w:after="0" w:lineRule="auto"/>
        <w:rPr>
          <w:color w:val="000000"/>
          <w:sz w:val="18"/>
          <w:szCs w:val="18"/>
        </w:rPr>
      </w:pPr>
      <w:r w:rsidDel="00000000" w:rsidR="00000000" w:rsidRPr="00000000">
        <w:rPr>
          <w:color w:val="000000"/>
          <w:sz w:val="18"/>
          <w:szCs w:val="18"/>
          <w:rtl w:val="0"/>
        </w:rPr>
        <w:t xml:space="preserve"> *Audit is under progress.</w:t>
      </w:r>
    </w:p>
    <w:p w:rsidR="00000000" w:rsidDel="00000000" w:rsidP="00000000" w:rsidRDefault="00000000" w:rsidRPr="00000000" w14:paraId="00000127">
      <w:pPr>
        <w:rPr>
          <w:rFonts w:ascii="Calibri" w:cs="Calibri" w:eastAsia="Calibri" w:hAnsi="Calibri"/>
          <w:b w:val="1"/>
          <w:bCs w:val="1"/>
          <w:color w:val="000000"/>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450" w:top="720" w:left="936" w:right="720" w:header="450" w:footer="720"/>
      <w:lnNumType w:countBy="1" w:start="0" w:restart="continuous"/>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Amazon Confidential </w:t>
      <w:tab/>
      <w:t xml:space="preserve">                                  7/30/2019                                                                                        </w:t>
      <w:tab/>
      <w:t xml:space="preserve">      Page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of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Amazon Confidential </w:t>
      <w:tab/>
      <w:t xml:space="preserve">                                  7/30/2019                                                                                        </w:t>
      <w:tab/>
      <w:t xml:space="preserve">      Page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of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We believe this number is the lower bound for leakages as manual audits do not capture or pursue all claims.</w:t>
      </w:r>
    </w:p>
  </w:footnote>
  <w:footnote w:id="1">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Price Protection agreements allow Amazon to claim rebates on inventory we hold or that is in transit to us, whenever the vendor funds a price drop on their products.</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8280"/>
      </w:tabs>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ab/>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1968163" cy="445664"/>
          <wp:effectExtent b="0" l="0" r="0" t="0"/>
          <wp:docPr descr="C:\Users\tulin\AppData\Local\Microsoft\Windows\INetCache\Content.Word\SPS-Logo_Horizontal_Multi.jpg" id="1" name="image1.jpg"/>
          <a:graphic>
            <a:graphicData uri="http://schemas.openxmlformats.org/drawingml/2006/picture">
              <pic:pic>
                <pic:nvPicPr>
                  <pic:cNvPr descr="C:\Users\tulin\AppData\Local\Microsoft\Windows\INetCache\Content.Word\SPS-Logo_Horizontal_Multi.jpg" id="0" name="image1.jpg"/>
                  <pic:cNvPicPr preferRelativeResize="0"/>
                </pic:nvPicPr>
                <pic:blipFill>
                  <a:blip r:embed="rId1"/>
                  <a:srcRect b="0" l="0" r="0" t="0"/>
                  <a:stretch>
                    <a:fillRect/>
                  </a:stretch>
                </pic:blipFill>
                <pic:spPr>
                  <a:xfrm>
                    <a:off x="0" y="0"/>
                    <a:ext cx="1968163" cy="445664"/>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8280"/>
      </w:tabs>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Contra-CoGS Resourcing Discussion</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ab/>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1968163" cy="445664"/>
          <wp:effectExtent b="0" l="0" r="0" t="0"/>
          <wp:docPr descr="C:\Users\tulin\AppData\Local\Microsoft\Windows\INetCache\Content.Word\SPS-Logo_Horizontal_Multi.jpg" id="2" name="image1.jpg"/>
          <a:graphic>
            <a:graphicData uri="http://schemas.openxmlformats.org/drawingml/2006/picture">
              <pic:pic>
                <pic:nvPicPr>
                  <pic:cNvPr descr="C:\Users\tulin\AppData\Local\Microsoft\Windows\INetCache\Content.Word\SPS-Logo_Horizontal_Multi.jpg" id="0" name="image1.jpg"/>
                  <pic:cNvPicPr preferRelativeResize="0"/>
                </pic:nvPicPr>
                <pic:blipFill>
                  <a:blip r:embed="rId1"/>
                  <a:srcRect b="0" l="0" r="0" t="0"/>
                  <a:stretch>
                    <a:fillRect/>
                  </a:stretch>
                </pic:blipFill>
                <pic:spPr>
                  <a:xfrm>
                    <a:off x="0" y="0"/>
                    <a:ext cx="1968163" cy="445664"/>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216" w:hanging="216"/>
      </w:pPr>
      <w:rPr>
        <w:b w:val="0"/>
        <w:bCs w:val="0"/>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upperLetter"/>
      <w:lvlText w:val="%1."/>
      <w:lvlJc w:val="left"/>
      <w:pPr>
        <w:ind w:left="360" w:hanging="360"/>
      </w:pPr>
      <w:rPr>
        <w:b w:val="1"/>
        <w:bCs w:val="1"/>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upperLetter"/>
      <w:lvlText w:val="%1."/>
      <w:lvlJc w:val="left"/>
      <w:pPr>
        <w:ind w:left="360" w:hanging="360"/>
      </w:pPr>
      <w:rPr>
        <w:b w:val="1"/>
        <w:bCs w:val="1"/>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upperLetter"/>
      <w:lvlText w:val="%1."/>
      <w:lvlJc w:val="left"/>
      <w:pPr>
        <w:ind w:left="360" w:hanging="360"/>
      </w:pPr>
      <w:rPr>
        <w:b w:val="1"/>
        <w:bCs w:val="1"/>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decimal"/>
      <w:lvlText w:val="%1."/>
      <w:lvlJc w:val="left"/>
      <w:pPr>
        <w:ind w:left="630" w:hanging="360"/>
      </w:pPr>
      <w:rPr>
        <w:rFonts w:ascii="Calibri" w:cs="Calibri" w:eastAsia="Calibri" w:hAnsi="Calibri"/>
        <w:b w:val="1"/>
        <w:bCs w:val="1"/>
        <w:i w:val="0"/>
        <w:iCs w:val="0"/>
        <w:color w:val="000000"/>
        <w:sz w:val="20"/>
        <w:szCs w:val="20"/>
      </w:rPr>
    </w:lvl>
    <w:lvl w:ilvl="1">
      <w:start w:val="1"/>
      <w:numFmt w:val="decimal"/>
      <w:lvlText w:val="%1.%2"/>
      <w:lvlJc w:val="left"/>
      <w:pPr>
        <w:ind w:left="36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080" w:hanging="720"/>
      </w:pPr>
      <w:rPr/>
    </w:lvl>
    <w:lvl w:ilvl="5">
      <w:start w:val="1"/>
      <w:numFmt w:val="decimal"/>
      <w:lvlText w:val="%1.%2.%3.%4.%5.%6"/>
      <w:lvlJc w:val="left"/>
      <w:pPr>
        <w:ind w:left="1440" w:hanging="1080"/>
      </w:pPr>
      <w:rPr/>
    </w:lvl>
    <w:lvl w:ilvl="6">
      <w:start w:val="1"/>
      <w:numFmt w:val="decimal"/>
      <w:lvlText w:val="%1.%2.%3.%4.%5.%6.%7"/>
      <w:lvlJc w:val="left"/>
      <w:pPr>
        <w:ind w:left="1440" w:hanging="1080"/>
      </w:pPr>
      <w:rPr/>
    </w:lvl>
    <w:lvl w:ilvl="7">
      <w:start w:val="1"/>
      <w:numFmt w:val="decimal"/>
      <w:lvlText w:val="%1.%2.%3.%4.%5.%6.%7.%8"/>
      <w:lvlJc w:val="left"/>
      <w:pPr>
        <w:ind w:left="1800" w:hanging="1440"/>
      </w:pPr>
      <w:rPr/>
    </w:lvl>
    <w:lvl w:ilvl="8">
      <w:start w:val="1"/>
      <w:numFmt w:val="decimal"/>
      <w:lvlText w:val="%1.%2.%3.%4.%5.%6.%7.%8.%9"/>
      <w:lvlJc w:val="left"/>
      <w:pPr>
        <w:ind w:left="1800" w:hanging="1440"/>
      </w:pPr>
      <w:rPr/>
    </w:lvl>
  </w:abstractNum>
  <w:abstractNum w:abstractNumId="8">
    <w:lvl w:ilvl="0">
      <w:start w:val="1"/>
      <w:numFmt w:val="upperLetter"/>
      <w:lvlText w:val="%1."/>
      <w:lvlJc w:val="left"/>
      <w:pPr>
        <w:ind w:left="360" w:hanging="360"/>
      </w:pPr>
      <w:rPr>
        <w:b w:val="1"/>
        <w:bCs w:val="1"/>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9">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0">
    <w:lvl w:ilvl="0">
      <w:start w:val="1"/>
      <w:numFmt w:val="upperLetter"/>
      <w:lvlText w:val="%1."/>
      <w:lvlJc w:val="left"/>
      <w:pPr>
        <w:ind w:left="360" w:hanging="360"/>
      </w:pPr>
      <w:rPr>
        <w:b w:val="1"/>
        <w:bCs w:val="1"/>
      </w:rPr>
    </w:lvl>
    <w:lvl w:ilvl="1">
      <w:start w:val="1"/>
      <w:numFmt w:val="lowerRoman"/>
      <w:lvlText w:val="%2."/>
      <w:lvlJc w:val="right"/>
      <w:pPr>
        <w:ind w:left="1080" w:hanging="360"/>
      </w:pPr>
      <w:rPr>
        <w:b w:val="1"/>
        <w:bCs w:val="1"/>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1">
    <w:lvl w:ilvl="0">
      <w:start w:val="1"/>
      <w:numFmt w:val="decimal"/>
      <w:lvlText w:val="%1."/>
      <w:lvlJc w:val="left"/>
      <w:pPr>
        <w:ind w:left="360" w:hanging="360"/>
      </w:pPr>
      <w:rPr>
        <w:b w:val="0"/>
        <w:bCs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spacing w:after="0" w:before="120" w:line="240" w:lineRule="auto"/>
      <w:ind w:left="702" w:hanging="432"/>
    </w:pPr>
    <w:rPr>
      <w:rFonts w:ascii="Calibri" w:cs="Calibri" w:eastAsia="Calibri" w:hAnsi="Calibri"/>
      <w:b w:val="1"/>
      <w:bCs w:val="1"/>
      <w:smallCaps w:val="1"/>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0x01010066158D6877FDDA4F85A6D5C1FE17D875</vt:lpwstr>
  </property>
</Properties>
</file>