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rtl w:val="0"/>
        </w:rPr>
        <w:t xml:space="preserve">Finance Technology 2021 OP1 October 1, 2020</w:t>
      </w:r>
    </w:p>
    <w:p w:rsidR="00000000" w:rsidDel="00000000" w:rsidP="00000000" w:rsidRDefault="00000000" w:rsidRPr="00000000" w14:paraId="00000002">
      <w:pPr>
        <w:keepNext w:val="1"/>
        <w:keepLines w:val="0"/>
        <w:pageBreakBefore w:val="0"/>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Finance Technology’s (FinTech) charter is to enable Finance &amp; Global Business Services (FGBS) teams. We amplify the benefit of FGBS by enabling these teams to support the growth, expansion, and restructuring of businesses. We provide leverage through automation and self-service while ensuring controllership, compliance with laws and regulations, security, reliability, and scalability. We have a unique vantage across FGBS to provide integrated solutions that satisfy multiple teams’ needs at once. This document summarizes the drivers and rationale behind FinTech’s 2021 OP1 headcount and growth.</w:t>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our 2021 OP1 process, FinTech leadership prioritized FGBS requests along with internal projects, using stakeholder input, high judgment towards achieving our three-year plan, and our capacity to hire and retain people. Our 2020 end-of-year headcount target is 549. To deliver our planned 2021 projects, we request growing our headcount by 113 (+20.6%). We would require additional growth to achieve our 2021 plan; however, we delivered capabilities in 2020 that generated efficiencies for our teams that will allow us to re-allocate 15 people to new investment areas. The capabilities we provide help limit headcount growth for our stakeholders. Refer to Appendix A for a reconciliation between our 2020 Plan and 2021 OP1 request.</w:t>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met with stakeholders across FGBS to review focused OP1 docs and discuss their specific project requests’ disposition. This document summarizes the critical investments across each of our customers. More detailed six-page documents for each customer are available by request; see Appendix C for the mapping of our domains to these customer-focused documents. These documents have appendices that outline all project requests by priority order, and whether they fall above or below the line for 2021. We will work with stakeholders to reprioritize our existing roadmap for investments that are currently below the line or keep them below the line until next year. Appendix D lists FinTech initiated projects that require FGBS teams to plan capacity to support.</w:t>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priorities for 2021 investments are consistent with the CFO goal themes of People, Tech &amp; Scaling, Governance, Security, Privacy &amp; Compliance, and Big Initiatives. We mapped these themes to our projects in the Key Investment section and discussed our People goals within the FAQs.</w:t>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have development centers in Brazil, Canada, India, the Netherlands, and the US. More than half of our team is in Seattle. We cannot grow in Seattle due to hiring constraints. In 2021, we will grow in HQ2, India, Jersey City, and Brazil, while slightly reducing in Seattle. We believe we will increase our ability to find diverse technical talent with HQ2; see Appendix B for our plan by location.</w:t>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our recruiting progress, we expect to meet our 2020 headcount target by the end of November. We need your approval to maintain this momentum, build a promising pipeline, and make offers for 2021 headcount with start dates in 2021. </w:t>
      </w:r>
    </w:p>
    <w:p w:rsidR="00000000" w:rsidDel="00000000" w:rsidP="00000000" w:rsidRDefault="00000000" w:rsidRPr="00000000" w14:paraId="00000009">
      <w:pPr>
        <w:keepNext w:val="1"/>
        <w:keepLines w:val="0"/>
        <w:pageBreakBefore w:val="0"/>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2021 Investment Areas. Numbers in [ ] are 2020 plan headcount, 2021 OP1 growth.</w:t>
      </w:r>
    </w:p>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section outlines our investments in 2021 that are in addition to “keeping the lights on” (KTLO) activities. First, we list capabilities for four of our FGBS stakeholders (FinOps, Treasury, Tax, and Accounting), followed by investments to reduce dependency on Oracle. Finally, the projects that serve multiple FGBS customers. </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FinOps [121, 5]</w:t>
      </w:r>
      <w:r w:rsidDel="00000000" w:rsidR="00000000" w:rsidRPr="00000000">
        <w:rPr>
          <w:rtl w:val="0"/>
        </w:rPr>
      </w:r>
    </w:p>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owns the Accounts Payable (AP) and Account Receivable (AR) sub-ledgers, tax structures, and payments/receipts for the procure-to-pay and order-to-cash processes. We enable vendor invoice ingestion and payment transmission, which is on track for 27MM payments to 2.6MM beneficiaries totaling $300B in 2020. We build and operate technology to execute timely, accurate, and controlled disbursements. FinTech ensures end-to-end processing and reconciliation from upstream Amazon systems, customer portals, electronic interfaces, and third-party integrations, including banks and tax authorities. We provide automated terms based customer invoicing, manual billing, netting, and adjustment solutions ($89.7B in 2020). FinTech builds and operates technology to enable business growth and global expansion of 150 businesses, in 40 countries, in 2020. </w:t>
      </w:r>
    </w:p>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OFA Receivables (Compliance, Scaling) [30, 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generate customer bills, settle customer’s balances, and create the associated accounting transactions. In 2021, we will deliver receivables capabilities for eight Retail, three AWS sellers of record, eight Advertising, and 17 Transportation expansions. We will enable three restructuring initiatives. We will automate billing, disputes, and rebill processes to improve customer experience, scale with business growth, and reduce manual effort by ten FinOps people. We will deliver compliance projects for invoice automation, entity address changes, VAT reporting and recovery, tax rate and rule changes, and enable e-invoicing in seven countries. We will integrate with partner identity systems, seller payments platform, and build services to transfer debit balances in Oracle Financial Applications (OFA) to UniPay (Sellers financial transactions platform).</w:t>
      </w:r>
      <w:r w:rsidDel="00000000" w:rsidR="00000000" w:rsidRPr="00000000">
        <w:rPr>
          <w:rtl w:val="0"/>
        </w:rPr>
      </w:r>
    </w:p>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Cash Management (Scaling) [18, 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services to accurately identify and apply cash received into Amazon bank accounts to customer’s open balances. We automate cash application to reduce human errors and deliver tools to improve cash analysts’ efficiency to manually research for remittance where automation is not possible. In 2021, we will improve the auto cash application first pass yield from 90% end-of-year 2020 to 92% end-of-year 2021. We will achieve this by implementing new algorithms that adjust to evolving customer payment patterns. We will establish bank integrations, credit card integrations, and auto cash and credit application for seven AWS sellers of record.</w:t>
      </w:r>
      <w:r w:rsidDel="00000000" w:rsidR="00000000" w:rsidRPr="00000000">
        <w:rPr>
          <w:rtl w:val="0"/>
        </w:rPr>
      </w:r>
    </w:p>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OFA Payment Orchestration (Compliance, Scaling) [20, 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pay the right beneficiary, the right amount, at the right time, using their preferred payment method and currency, while substantiating all accounting for all payables transactions. In 2021, we will automatically void failed payments and submit them for processing or initiate remediation processes using failure codes. We will automate remediation procedures such as pre-noting and penny testing of accounts with failed payments. We will implement flexible self-service systems with governance that enable FinOps to reconfigure and reformat vendor communications. We will support expanding business needs by adding support for automated payments in ten new geographies. We will enhance the automation of tax compliance discounts and payments in five geographies. We will support e-invoicing for nine new geographies.</w:t>
      </w:r>
    </w:p>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Payments Transmission (Compliance, Scaling) [28, 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enable payment partner integrations for disbursements with a 99.45% success rate, payee account validations, payment status reconciliation, and end-to-end payments lifecycle visibility. In 2021, we will support expansions by improving the payee experience with better payment method selection and reducing payment failures and manual payments. We will partner with Payment Services to deploy a converged PayStation Extension plugin using the Batch Infrastructure Platform to improve our security and developer efficiency by 40%.</w:t>
      </w:r>
    </w:p>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Entity Management (Scaling) [25, -9].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standardize and automate the entity structure in OFA and integration changes required for new business and geographic growth. In 2021, we will deliver 173 expansions (129 in-country and 44 new geos). We will standardize the process for entity expansions to reduce in-country user acceptance testing timelines from five to two days, and geo expansions readiness timelines from four to three weeks. </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Treasury (Big Initiatives, Compliance, Scaling) [6, 6]</w:t>
      </w:r>
      <w:r w:rsidDel="00000000" w:rsidR="00000000" w:rsidRPr="00000000">
        <w:rPr>
          <w:rtl w:val="0"/>
        </w:rPr>
      </w:r>
    </w:p>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builds and operates the Treasury data platform. This data platform supports Treasury’s goals to ensure global liquidity, maximize investment returns on unused capital, reduce fees, and automate manual tasks. In 2020, the data platform reduced the time to develop reports, such as the cash dashboard, from days to minutes. In 2021, we will leverage this data platform in partnership with Treasury to deploy Quantum, a new third-party Treasury Management System, and enable functionality for the Global Treasury Center. We will integrate with 30+ data sources to ensure Quantum’s interoperability with internal and external systems such as accounting, intercompany, tax, and payments, enabling automation from deal initiation to journal entry.</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leverage the Treasury data platform to develop the Origami Risk Management Information System to support Treasury Global Claims and Risk Management teams. By the end of 2020, we will integrate 15 new datasets for Workers’ Compensation, Community Together, Auto Liability, and Total Cost of Risk teams. In 2021, we will add 20 datasets for risk teams such as general liability, product liability, and property insurance to centralize data management across sources, saving four people per year.</w:t>
      </w:r>
      <w:r w:rsidDel="00000000" w:rsidR="00000000" w:rsidRPr="00000000">
        <w:rPr>
          <w:rtl w:val="0"/>
        </w:rPr>
      </w:r>
    </w:p>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build an application to administer and monitor access to Amazon’s external banking portals and systems to improve security and controllership. We will reduce the time to identify and action bank permission changes from two weeks to one day.</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Tax (Compliance, Scaling) [57, 49]</w:t>
      </w:r>
      <w:r w:rsidDel="00000000" w:rsidR="00000000" w:rsidRPr="00000000">
        <w:rPr>
          <w:rtl w:val="0"/>
        </w:rPr>
      </w:r>
    </w:p>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builds and operates technology to support Tax globally. We develop solutions that enable Amazon to comply with thousands of indirect tax filings and hundreds of audits, accurately and timely. For example, as of 8/31/2020, Amazon collected and remitted $10.3B in the US, which includes over 30K compliance filings and 115 tax audits. We listen to the tax events to capture billions of transactions a day and process them for tax compliance globally. </w:t>
      </w:r>
    </w:p>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received a total of 241 projects, which is twice as many projects compared to last year, due to the increasing number of regulatory changes and business expansions in 2021. To deliver all high priority projects, we request an incremental headcount of 49, an 86% YoY increase. The large request is for mandatory compliance audit projects (32%), business expansions (24%), and self-service automation (44%). The automation investments align with the technical debt reduction goal for the Tax org, which is critical for the Tax org to scale to future compliance complexities without a linear growth in headcount.</w:t>
      </w:r>
    </w:p>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Indirect Tax Compliance [29, 21].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build and operate Tax Data Warehouse (TDW), a central tax data repository with self-service reporting that serves as the authoritative source for the indirect tax filings. Today, the TDW solution exists for the US, EMEA, and the Rest of the World compliance. In 2021, we will extend TDW for India, China, Mexico, and non-integrated US subsidiaries. We own Seed, an automation tool for managing compliance rules in TDW for regulatory changes. In 2021, we will automate Seed tax rule management. Investments in TDW and Seed will allow Tax to scale and improve the controllership of manual processes.</w:t>
      </w:r>
    </w:p>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meet the growing needs from EMEA countries requesting the electronic exchange of data, we will build a SAF-T (Standard Audit File for Tax) service to submit accounting and tax data. This service will provide Tax and Accounting the ability to define SAF-T templates, build the required outputs, and set up the transmission to the authorities, using self-service workflows. In 2021, we will develop Data Lineage, a tool to track and trace transactions across different Amazon ordering and financial systems. In addition to TDW, this solution is required in Mexico to automate future filings and claim an outstanding VAT refund of $40MM from the authorities.</w:t>
      </w:r>
    </w:p>
    <w:p w:rsidR="00000000" w:rsidDel="00000000" w:rsidP="00000000" w:rsidRDefault="00000000" w:rsidRPr="00000000" w14:paraId="0000001B">
      <w:pPr>
        <w:spacing w:after="0" w:lineRule="auto"/>
        <w:rPr>
          <w:color w:val="000000"/>
        </w:rPr>
      </w:pPr>
      <w:r w:rsidDel="00000000" w:rsidR="00000000" w:rsidRPr="00000000">
        <w:rPr>
          <w:b w:val="1"/>
          <w:bCs w:val="1"/>
          <w:color w:val="000000"/>
          <w:rtl w:val="0"/>
        </w:rPr>
        <w:t xml:space="preserve">Brazil Tax Compliance [12, 17].</w:t>
      </w:r>
      <w:r w:rsidDel="00000000" w:rsidR="00000000" w:rsidRPr="00000000">
        <w:rPr>
          <w:color w:val="000000"/>
          <w:rtl w:val="0"/>
        </w:rPr>
        <w:t xml:space="preserve"> We leverage a third-party application (Synchro) in Brazil to meet the localization needs and comply with the unique tax rules and reporting requirements. Amazon in Brazil is planning 50 business expansion projects in 2021. As a result, the number of tax filings per month in Brazil will grow from 350 to 630, a 77% increase. We are building compliance capabilities and automation so the Tax org can scale to business growth. In addition to the capabilities for business expansion in Brazil, we will deliver T-Rail, a rule-based validation service. T-Rail will detect, address issues proactively and alert upstream systems. T-Rail will save four FTEs for the Tax org and reduce the risk of human errors in the manual compliance processes.</w:t>
      </w:r>
    </w:p>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Audit Automation [16, 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tax audits in the US, we own and operate Tax Audit Portal (TAP), an automation tool to eliminate manual work and reduce the time to respond to audits. In 2021, we will extend TAP globally for international tax (VAT, GST) audits, which are handled manually today by Tax and FinTech. For example, the French Tax Audit for years 2015-2017 that concluded in 2020 required five engineers to collate and submit data. In 2021, TAP investments and other automation tools like Daxter and Area51 will reduce our teams’ effort and ensure Tax can react better to the unknowns like tax audits globally.</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Accounting [148, 12]</w:t>
      </w:r>
      <w:r w:rsidDel="00000000" w:rsidR="00000000" w:rsidRPr="00000000">
        <w:rPr>
          <w:rtl w:val="0"/>
        </w:rPr>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Accounting relies on FinTech financial systems to meet regulatory needs, and FinTech supports reporting and analytic requirements, including compliance, reconciliation, and month-end close processes. We automate business processes to improve data accuracy and eliminate manual effort. FinTech achieved 100% on-time monthly close in partnership with Accounting while supporting 41% growth in journal lines (390 MM in July 2020 versus 269MM in December 2019).</w:t>
      </w:r>
    </w:p>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Close Systems (Compliance, Scaling) [49, 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develops automation to scale to Amazon’s growing business needs. We invest in capabilities that allow our customers to fast track reporting of Amazon’s financials. In 2021, we will support roadmap projects, including AWS Snowcone, Buy-Sell Phase 2, Armada, and Transfer of Assets. We will automate withholding tax re-class and foreign currency fluctuation adjustments, and onboard 23 additional countries to the Global Vacation Accruals tool. We will migrate reports from OFA to AWS to improve performance and reduce OFA’s workload. For statutory compliance reporting, we will configure 162 new Fixed Asset books (81 corp and 81 prepaid) and rebuild five subledgers. We will enhance Spursh (Journal Automation Service) with authentication, authorization, approvals, and configurable business rule features to eliminate Oracle Web-ADI dependencies. We will work with Accounting in selecting third-party software such as Blackline (Reconciliation), Tririga (Leasing), Stock-based compensation, and Studios leveraging OFA and provide the application integration and support.</w:t>
      </w:r>
    </w:p>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Automation Services [48, 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This team builds tools to handle MJEs (manual journal entries) to book allocations (Spectra), reserves (GRACE), accruals (ACE), and adjustment entries. In 2021, we will automate 150 allocation MJEs and extend this service beyond Accounting. We are in discussions with Corp FP&amp;A, Treasury, and AWS Finance to implement their use cases. For reserves, we will automate five reserve and five rate use cases identified as high risk and valued at $767MM, eliminating 78 MJEs. For accruals,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implement system- and report-based accruals, self-service features, and deliver re-class capabilities, eliminating 3.5K MJEs. We will onboard 100% of manual reconciliations, complete integration with Blackline, and onboard 250+ reports through Finance Data Vault (FDV). To reduce our reliance on Oracle Data Relationship Management, we will build capabilities to onboard data for cost center allocations, statutory reporting, and ledger creation to the authoritative financial relationship system. We will onboard 15 additional countries to the bonus amortization and deferral engine. We will integrate with the unified payroll data exchange platform (Locker) to automate the ingestion of bonus disbursements for 14 geographies. As tools go into KTLO mode, we will redirect resources to work on a unified self-service MJE platform and other new initiatives such as Warrants automation.</w:t>
      </w:r>
    </w:p>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Knowledge Services [51, 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owns FDV, USL-BI, Magnify (month close analytics), and supports the Oracle Business Intelligence Enterprise Edition (OBIEE) migration to Amazon QuickSight business intelligence service. FDV will provide a scalable self-service data platform to ingest, catalog, transform, and publish SOX-compliant data with an appropriate governance framework. By the end of 2020, we will onboard all OFA datasets to FDV and work with Accounting and other stakeholders to prioritize subsequent datasets to onboard. For Magnify, we will deliver the minimum lovable product features needed for compliance and controllership to onboard EMEA OpEx teams. In 2021, we will develop the first version of a self-serve data ingestion framework to accelerate data onboarding without engineering intervention. We will continue to support and maintain FDW and USL-BI while migrating datasets to FDV and providing similar capabilities with FDV. We will build capabilities in Magnify to onboard US Retail and EU Retail Accounting. We will migrate all FinTech created OBIEE reports to QuickSight and support FGBS teams to migrate their OBIEE reports. Deprecating OBIEE will save $50MM in licensing and support fees.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Oracle Footprint Reduction [64, 20]</w:t>
      </w:r>
      <w:r w:rsidDel="00000000" w:rsidR="00000000" w:rsidRPr="00000000">
        <w:rPr>
          <w:rtl w:val="0"/>
        </w:rPr>
      </w:r>
    </w:p>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 FGBS teams are heavily dependent on OFA and OBIEE, third-party software licensed by Oracle. In 2021, we will deprecate OBIEE and reduce our OFA dependency, where the platform presents scaling and commercial risks, specifically Accounts Payable, Accounts Receivable, and Fixed Assets. The OFA General Ledger and subsidiary ledgers provide adequate scale for the near future.</w:t>
      </w:r>
    </w:p>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Non-OFA Receivables (Big Initiatives, Scaling) [11, 15].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builds capabilities to manage AR transactions, including invoice generation, e-invoicing, invoice presentment, and cash application. In Q3 2020, FinTech, FinAuto, and eCommerce Financial Integration worked together on an AR architecture convergence project to leverage multiple teams’ investments.</w:t>
      </w:r>
    </w:p>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2021, we will coordinate 2021 deliverables to align with the FinOps AR vision and avoid duplicative effort by re-using Cimarron Account Service for billing authority and Cash Identification and Matching Service for cash application. We will provide feature parity with OFA for customer data management, accounting integration, customer invoice management, cash application, and a user interface for manual entry and adjustment.</w:t>
      </w:r>
    </w:p>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Non-OFA Payment Orchestration (Big Initiatives, Scaling) [24, 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is building Teller, FinTech’s initiative, to build AP technologies to replace OFA batch payment disbursement. This investment will improve the payee experience, scale to meet Amazon’s business growth, and enable us to handle changes in government regulations. Teller provides business partners with the ability to define rules that govern how payments are grouped and scheduled by a business. This capability will allow Amazon to optimize payment costs and enable a customized vendor experience. </w:t>
      </w:r>
    </w:p>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Q1 2021, we will build withholding tax and direct tax validation. We will migrate EU Transportation from OFA to Teller in Q2 2021, followed by NA and ROW in Q3 2021, covering 90% of Transportation payments. For Digital, we will onboard all non-Kindle Digital Publishing invoices for NA. We will add two corporate payment sources, Salesforce and Serengeti legal services, and add additional countries for account verification with penny testing. We will bridge Vendor Payments Payment Service to Teller integration to reduce message format changes that upstream systems need to make when migrating from OFA to Teller.</w:t>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Fixed Assets Automation (FAA) (Big Initiatives, Scaling) [29, 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FAA team will build capabilities to address data quality, asset granularity for statutory and tax needs, and asset transaction automation. For example, missing in-service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dates on long-haul trailers resulted in a $100MM understatement for three months. In 2020, reviews of fully-depreciated assets found $2.2B (original cost) in ghost assets, resulting in overpayment of property taxes between the time of actual disposal and sub-ledger corrections. </w:t>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2021, we will launch a minimum lovable product of FAA data governance to ensure the data quality of assets. We will also build an asset tracker, which will include granularity at the physical asset (1 physical asset = 1 financial asset) with attributes needed for all tax and accounting use cases. This granularity will enable the association of financial assets to physical assets in upstream asset trackers, such as EAM (FCs) and Veritas (AWS), and automation of post-asset creation transactions, such as transfers, adjustments, disposals, and depreciation events.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20" w:line="240" w:lineRule="auto"/>
        <w:ind w:left="0" w:right="0" w:firstLine="0"/>
        <w:jc w:val="left"/>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Multiple Customers [142, 17]</w:t>
      </w:r>
      <w:r w:rsidDel="00000000" w:rsidR="00000000" w:rsidRPr="00000000">
        <w:rPr>
          <w:rtl w:val="0"/>
        </w:rPr>
      </w:r>
    </w:p>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Intercompany (Compliance, Scaling) [19, 10].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builds technologies to ensure the transactions between Amazon’s entities across the globe are accounted for, settled, and reported accurately. Millions of transactions a year, totaling over $1.7T, take place between Amazon entities. Over the next few years, we will build tools to construct end-to-end intercompany solutions to automate and improve controllership. In Q4 2020, we will launch an intercompany MJE tool, automating the journal entries that account for approximately 27% of the total amount booked to the intercompany accounts.</w:t>
      </w:r>
    </w:p>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2021, we will partner with Accounting, Tax, and Treasury to build automation for transfer pricing, settlements, reporting, and mandatory e-invoicing compliance. We will deliver a transfer pricing engine to accurately calculate transfer pricing and tax for all periodic intercompany transactions based on the intercompany agreements. In parallel, we will develop automation for intercompany settlements at the transaction level, including the ability to review, approve, audit, and trace transactions, and try to provide cashless transactions where possible.</w:t>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Statutory &amp; Compliance Reporting (Compliance, Scaling) [17, 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team provides technology solutions to enable global Accounting and Tax teams to comply with country-specific tax regulations. In 2021, we will continue to build SCoRe Central, an automation platform for statutory and compliance reporting. We will add a configurable reporting calendar, country-specific reporting templates, and approval workflow. We will also deliver reports required for E-Accounting regulations in Mexico.</w:t>
      </w:r>
    </w:p>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RISC (Risk, Security, and Compliance) [30, 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RISC teams own Amazon GRC (Governance, Risk, and Compliance), the Amazon policy website, and Delta (software deployment change management monitoring). We will launch GRC 2.0 in December 2020. In 2021, we will transition users and GRC initiatives off GRC 1.0 and retire GRC 1.0 and policy websites. We will add enhancements including risk analytics, collaborative document editing, and an application management service. We will extend Delta’s AWS coverage by adding change management monitoring for AWS database services. Using Delta, we will extend InfoSec managed user defined detection rules for SOX, from CDO to the AWS business.</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RISC security team drives the security of FGBS products, services, infrastructure, and processes. In 2021, we will invest in security automation and increase security coverage for applications and infrastructure in FinTech from 20% to 80%. We will align security engineers with business domains in FGBS to drive security reviews, address security risks, and provide coverage for security incidents. We will improve security operations, reduce the detection time for security issues, and reduce time to mitigate from weeks to days. We will build a credential management system and a secure access portal that any team within FGBS can use to access third-party websites securely.</w:t>
      </w:r>
    </w:p>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FinTech Risk &amp; Intelligence (Compliance) [12, -4].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Risk and Intelligence team helps FGBS identify and mitigate technology risks introduced by services built or leveraged by FinTech. In 2021, we will focus on high priority compliance efforts to improve controllership in FinTech and FGBS by conducting application and control inspections, and disaster recovery program expansion. We provide SOX control design consultation, coordinate SOX 302/404 reporting, internal audit and findings management, data governance and privacy, and QuickSight information provided by entity governance. We will continue to partner with the RISC team to expand risk management automation for FGBS and support GRC 2.0 development.</w:t>
      </w:r>
    </w:p>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Machine Learning (Compliance, Scaling) [11, 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Machine Learning (ML) team drives ML use in Finance by developing applications and algorithms to solve problems unique to Finance. We partner with other FGBS teams to perform experimental design, data analysis, ML model development, ML office hours, technical talks, and science events. In 2021, we have a shared goal with the FinOps Theft, Fraud, Abuse, and Waste team to prevent and recover $400MM in erroneous payments stemming from errors, fraud, and theft. We will add ML-based transaction classification and forecasting to Europe, Canada, and Latin America cash pools for Treasury to eliminate manual effort, prevent non-sufficient funding situations, and enable efficient capital utilization.</w:t>
      </w:r>
    </w:p>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Kingpin (People, Scaling) [6, 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Kingpin is Amazon’s authoritative repository for definition and status of the company’s highest-level goals. Kingpin provides customers with end-to-end tracking and reporting mechanisms to follow goals from inception to closure. In 2021, we will improve customer productivity by eliminating steps to combine external data with Kingpin reports. We will add support for metrics and organization-defined data. We will enhance Kingpin reporting so customers can customize reports to match their needs. These enhancements will drive an 80% YoY increase in usage, from 1.8MM to 3.25MM user sessions.</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Marketing Platform (Scaling) [9,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Marketing Spend Platform is an application for Marketing Finance and Accounting to manage marketing budgets and automate monthly spend accrual.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application combines marketing campaign spend and budget data with purchase orders, invoices, and vendor data, to automate the accrual and budget tracking process. In 2021, we will launch marketing budget management for Finance and marketers to upload, track, and adjust finance budgets. Marketing budgets, spend, purchase orders, and invoices will be rolled-up based on teams, cost centers, events, and channels. We will enable budget tracking and allocation of invoices to $3B of spend for variable marketing and cross-channel marketing.</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Infrastructure (Compliance, Scaling) [38, -2].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Infrastructure team is responsible for managing the database and systems infrastructure for critical third-party financial systems, including OFA, Hyperion, Synchro, and Tririga. The team’s mission is to continuously scale, secure, and enable high availability for these applications while optimizing operating costs. In 2021, we will upgrade OFA application version from 12.1 to 12.2 to maintain support with Oracle and reduce monthly maintenance downtime by 80% by enabling online patching. We will replace the Network File System with the AWS Elastic File System to improve OFA security posture and reduce OFA failover time from IAD to PDX by one hour.</w:t>
      </w:r>
    </w:p>
    <w:p w:rsidR="00000000" w:rsidDel="00000000" w:rsidP="00000000" w:rsidRDefault="00000000" w:rsidRPr="00000000" w14:paraId="00000035">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A: Headcount (HC) Summary</w:t>
      </w:r>
    </w:p>
    <w:tbl>
      <w:tblPr>
        <w:tblStyle w:val="Table1"/>
        <w:tblW w:w="10206.0" w:type="dxa"/>
        <w:jc w:val="left"/>
        <w:tblLayout w:type="fixed"/>
        <w:tblLook w:val="0400"/>
      </w:tblPr>
      <w:tblGrid>
        <w:gridCol w:w="419"/>
        <w:gridCol w:w="3001"/>
        <w:gridCol w:w="1620"/>
        <w:gridCol w:w="270"/>
        <w:gridCol w:w="1260"/>
        <w:gridCol w:w="36"/>
        <w:gridCol w:w="1260"/>
        <w:gridCol w:w="1244"/>
        <w:gridCol w:w="1096"/>
        <w:tblGridChange w:id="0">
          <w:tblGrid>
            <w:gridCol w:w="419"/>
            <w:gridCol w:w="3001"/>
            <w:gridCol w:w="1620"/>
            <w:gridCol w:w="270"/>
            <w:gridCol w:w="1260"/>
            <w:gridCol w:w="36"/>
            <w:gridCol w:w="1260"/>
            <w:gridCol w:w="1244"/>
            <w:gridCol w:w="1096"/>
          </w:tblGrid>
        </w:tblGridChange>
      </w:tblGrid>
      <w:tr>
        <w:trPr>
          <w:cantSplit w:val="0"/>
          <w:trHeight w:val="340" w:hRule="atLeast"/>
          <w:tblHeader w:val="0"/>
        </w:trPr>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6">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7">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Domain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8">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Customer </w:t>
            </w:r>
          </w:p>
        </w:tc>
        <w:tc>
          <w:tcPr>
            <w:tcBorders>
              <w:top w:color="000000" w:space="0" w:sz="0" w:val="nil"/>
              <w:left w:color="000000" w:space="0" w:sz="0" w:val="nil"/>
              <w:bottom w:color="000000" w:space="0" w:sz="0" w:val="nil"/>
              <w:right w:color="a6a6a6" w:space="0" w:sz="4" w:val="single"/>
            </w:tcBorders>
            <w:shd w:fill="auto" w:val="clear"/>
            <w:vAlign w:val="bottom"/>
          </w:tcPr>
          <w:p w:rsidR="00000000" w:rsidDel="00000000" w:rsidP="00000000" w:rsidRDefault="00000000" w:rsidRPr="00000000" w14:paraId="0000003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gridSpan w:val="2"/>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A">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2020 Target</w:t>
            </w:r>
            <w:r w:rsidDel="00000000" w:rsidR="00000000" w:rsidRPr="00000000">
              <w:rPr>
                <w:rFonts w:ascii="Calibri" w:cs="Calibri" w:eastAsia="Calibri" w:hAnsi="Calibri"/>
                <w:b w:val="1"/>
                <w:bCs w:val="1"/>
                <w:vertAlign w:val="superscript"/>
                <w:rtl w:val="0"/>
              </w:rPr>
              <w:t xml:space="preserve">1</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C">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HC Growth</w:t>
            </w:r>
            <w:r w:rsidDel="00000000" w:rsidR="00000000" w:rsidRPr="00000000">
              <w:rPr>
                <w:rFonts w:ascii="Calibri" w:cs="Calibri" w:eastAsia="Calibri" w:hAnsi="Calibri"/>
                <w:b w:val="1"/>
                <w:bCs w:val="1"/>
                <w:color w:val="131a22"/>
                <w:vertAlign w:val="superscript"/>
                <w:rtl w:val="0"/>
              </w:rPr>
              <w:t xml:space="preserve">1</w:t>
            </w: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D">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2021 OP1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03E">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Growth % </w:t>
            </w:r>
          </w:p>
        </w:tc>
      </w:tr>
      <w:tr>
        <w:trPr>
          <w:cantSplit w:val="0"/>
          <w:trHeight w:val="1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spacing w:after="0" w:lineRule="auto"/>
              <w:jc w:val="right"/>
              <w:rPr>
                <w:rFonts w:ascii="Calibri" w:cs="Calibri" w:eastAsia="Calibri" w:hAnsi="Calibri"/>
                <w:b w:val="1"/>
                <w:bCs w:val="1"/>
                <w:color w:val="131a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0">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spacing w:after="0" w:lineRule="auto"/>
              <w:jc w:val="right"/>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spacing w:after="0" w:lineRule="auto"/>
              <w:jc w:val="right"/>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0" w:val="nil"/>
              <w:right w:color="bfbfbf" w:space="0" w:sz="4" w:val="single"/>
            </w:tcBorders>
            <w:shd w:fill="auto" w:val="clear"/>
            <w:vAlign w:val="bottom"/>
          </w:tcPr>
          <w:p w:rsidR="00000000" w:rsidDel="00000000" w:rsidP="00000000" w:rsidRDefault="00000000" w:rsidRPr="00000000" w14:paraId="0000004A">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Totals→</w:t>
            </w:r>
          </w:p>
        </w:tc>
        <w:tc>
          <w:tcPr>
            <w:tcBorders>
              <w:top w:color="a6a6a6"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4C">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549 </w:t>
            </w:r>
          </w:p>
        </w:tc>
        <w:tc>
          <w:tcPr>
            <w:gridSpan w:val="2"/>
            <w:tcBorders>
              <w:top w:color="a6a6a6" w:space="0" w:sz="4" w:val="single"/>
              <w:left w:color="000000" w:space="0" w:sz="0" w:val="nil"/>
              <w:bottom w:color="bfbfbf" w:space="0" w:sz="4" w:val="single"/>
              <w:right w:color="bfbfbf" w:space="0" w:sz="4" w:val="single"/>
            </w:tcBorders>
            <w:shd w:fill="auto" w:val="clear"/>
          </w:tcPr>
          <w:p w:rsidR="00000000" w:rsidDel="00000000" w:rsidP="00000000" w:rsidRDefault="00000000" w:rsidRPr="00000000" w14:paraId="0000004D">
            <w:pPr>
              <w:spacing w:after="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113 </w:t>
            </w:r>
            <w:r w:rsidDel="00000000" w:rsidR="00000000" w:rsidRPr="00000000">
              <w:rPr>
                <w:rtl w:val="0"/>
              </w:rPr>
            </w:r>
          </w:p>
        </w:tc>
        <w:tc>
          <w:tcPr>
            <w:tcBorders>
              <w:top w:color="a6a6a6" w:space="0" w:sz="4" w:val="single"/>
              <w:left w:color="000000" w:space="0" w:sz="0" w:val="nil"/>
              <w:bottom w:color="a6a6a6" w:space="0" w:sz="4" w:val="single"/>
              <w:right w:color="a6a6a6" w:space="0" w:sz="4" w:val="single"/>
            </w:tcBorders>
            <w:shd w:fill="auto" w:val="clear"/>
          </w:tcPr>
          <w:p w:rsidR="00000000" w:rsidDel="00000000" w:rsidP="00000000" w:rsidRDefault="00000000" w:rsidRPr="00000000" w14:paraId="0000004F">
            <w:pPr>
              <w:spacing w:after="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662 </w:t>
            </w:r>
            <w:r w:rsidDel="00000000" w:rsidR="00000000" w:rsidRPr="00000000">
              <w:rPr>
                <w:rtl w:val="0"/>
              </w:rPr>
            </w:r>
          </w:p>
        </w:tc>
        <w:tc>
          <w:tcPr>
            <w:tcBorders>
              <w:top w:color="a6a6a6" w:space="0" w:sz="4" w:val="single"/>
              <w:left w:color="000000" w:space="0" w:sz="0" w:val="nil"/>
              <w:bottom w:color="a6a6a6" w:space="0" w:sz="4" w:val="single"/>
              <w:right w:color="a6a6a6" w:space="0" w:sz="4" w:val="single"/>
            </w:tcBorders>
            <w:shd w:fill="auto" w:val="clear"/>
          </w:tcPr>
          <w:p w:rsidR="00000000" w:rsidDel="00000000" w:rsidP="00000000" w:rsidRDefault="00000000" w:rsidRPr="00000000" w14:paraId="00000050">
            <w:pPr>
              <w:spacing w:after="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21% </w:t>
            </w:r>
            <w:r w:rsidDel="00000000" w:rsidR="00000000" w:rsidRPr="00000000">
              <w:rPr>
                <w:rtl w:val="0"/>
              </w:rPr>
            </w:r>
          </w:p>
        </w:tc>
      </w:tr>
      <w:tr>
        <w:trPr>
          <w:cantSplit w:val="0"/>
          <w:trHeight w:val="100" w:hRule="atLeast"/>
          <w:tblHeader w:val="0"/>
        </w:trPr>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1">
            <w:pPr>
              <w:spacing w:after="0" w:lineRule="auto"/>
              <w:jc w:val="right"/>
              <w:rPr>
                <w:rFonts w:ascii="Calibri" w:cs="Calibri" w:eastAsia="Calibri" w:hAnsi="Calibri"/>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2">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4">
            <w:pPr>
              <w:spacing w:after="0"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7">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8">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059">
            <w:pPr>
              <w:spacing w:after="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ffffff" w:space="0" w:sz="12" w:val="single"/>
              <w:bottom w:color="a6a6a6" w:space="0" w:sz="4" w:val="single"/>
              <w:right w:color="a6a6a6" w:space="0" w:sz="4" w:val="single"/>
            </w:tcBorders>
            <w:shd w:fill="auto" w:val="clear"/>
          </w:tcPr>
          <w:p w:rsidR="00000000" w:rsidDel="00000000" w:rsidP="00000000" w:rsidRDefault="00000000" w:rsidRPr="00000000" w14:paraId="0000005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01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5B">
            <w:pPr>
              <w:spacing w:after="0" w:lineRule="auto"/>
              <w:rPr>
                <w:rFonts w:ascii="Calibri" w:cs="Calibri" w:eastAsia="Calibri" w:hAnsi="Calibri"/>
              </w:rPr>
            </w:pPr>
            <w:r w:rsidDel="00000000" w:rsidR="00000000" w:rsidRPr="00000000">
              <w:rPr>
                <w:rFonts w:ascii="Calibri" w:cs="Calibri" w:eastAsia="Calibri" w:hAnsi="Calibri"/>
                <w:rtl w:val="0"/>
              </w:rPr>
              <w:t xml:space="preserve">OFA Receivables</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5C">
            <w:pPr>
              <w:spacing w:after="0" w:lineRule="auto"/>
              <w:rPr>
                <w:rFonts w:ascii="Calibri" w:cs="Calibri" w:eastAsia="Calibri" w:hAnsi="Calibri"/>
              </w:rPr>
            </w:pPr>
            <w:r w:rsidDel="00000000" w:rsidR="00000000" w:rsidRPr="00000000">
              <w:rPr>
                <w:rFonts w:ascii="Calibri" w:cs="Calibri" w:eastAsia="Calibri" w:hAnsi="Calibri"/>
                <w:rtl w:val="0"/>
              </w:rPr>
              <w:t xml:space="preserve">FinOps</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5D">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5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60">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61">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62">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06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02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4">
            <w:pPr>
              <w:spacing w:after="0" w:lineRule="auto"/>
              <w:rPr>
                <w:rFonts w:ascii="Calibri" w:cs="Calibri" w:eastAsia="Calibri" w:hAnsi="Calibri"/>
              </w:rPr>
            </w:pPr>
            <w:r w:rsidDel="00000000" w:rsidR="00000000" w:rsidRPr="00000000">
              <w:rPr>
                <w:rFonts w:ascii="Calibri" w:cs="Calibri" w:eastAsia="Calibri" w:hAnsi="Calibri"/>
                <w:rtl w:val="0"/>
              </w:rPr>
              <w:t xml:space="preserve">Cash Management</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5">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66">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18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8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26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06B">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44%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6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03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6D">
            <w:pPr>
              <w:spacing w:after="0" w:lineRule="auto"/>
              <w:rPr>
                <w:rFonts w:ascii="Calibri" w:cs="Calibri" w:eastAsia="Calibri" w:hAnsi="Calibri"/>
              </w:rPr>
            </w:pPr>
            <w:r w:rsidDel="00000000" w:rsidR="00000000" w:rsidRPr="00000000">
              <w:rPr>
                <w:rFonts w:ascii="Calibri" w:cs="Calibri" w:eastAsia="Calibri" w:hAnsi="Calibri"/>
                <w:rtl w:val="0"/>
              </w:rPr>
              <w:t xml:space="preserve">OFA Payment Orchestration</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6E">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6F">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7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20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72">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7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20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74">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7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6">
            <w:pPr>
              <w:spacing w:after="0" w:lineRule="auto"/>
              <w:rPr>
                <w:rFonts w:ascii="Calibri" w:cs="Calibri" w:eastAsia="Calibri" w:hAnsi="Calibri"/>
              </w:rPr>
            </w:pPr>
            <w:r w:rsidDel="00000000" w:rsidR="00000000" w:rsidRPr="00000000">
              <w:rPr>
                <w:rFonts w:ascii="Calibri" w:cs="Calibri" w:eastAsia="Calibri" w:hAnsi="Calibri"/>
                <w:rtl w:val="0"/>
              </w:rPr>
              <w:t xml:space="preserve">Payment Transmissions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7">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78">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28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34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7D">
            <w:pPr>
              <w:spacing w:after="0" w:lineRule="auto"/>
              <w:jc w:val="right"/>
              <w:rPr>
                <w:rFonts w:ascii="Calibri" w:cs="Calibri" w:eastAsia="Calibri" w:hAnsi="Calibri"/>
                <w:color w:val="ff0000"/>
              </w:rPr>
            </w:pPr>
            <w:r w:rsidDel="00000000" w:rsidR="00000000" w:rsidRPr="00000000">
              <w:rPr>
                <w:rFonts w:ascii="Calibri" w:cs="Calibri" w:eastAsia="Calibri" w:hAnsi="Calibri"/>
                <w:color w:val="000080"/>
                <w:rtl w:val="0"/>
              </w:rPr>
              <w:t xml:space="preserve">21%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7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rtl w:val="0"/>
              </w:rPr>
              <w:t xml:space="preserve">Entity Management</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80">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81">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8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25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84">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8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16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86">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(36%)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8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8">
            <w:pPr>
              <w:spacing w:after="0" w:lineRule="auto"/>
              <w:rPr>
                <w:rFonts w:ascii="Calibri" w:cs="Calibri" w:eastAsia="Calibri" w:hAnsi="Calibri"/>
              </w:rPr>
            </w:pPr>
            <w:r w:rsidDel="00000000" w:rsidR="00000000" w:rsidRPr="00000000">
              <w:rPr>
                <w:rFonts w:ascii="Calibri" w:cs="Calibri" w:eastAsia="Calibri" w:hAnsi="Calibri"/>
                <w:rtl w:val="0"/>
              </w:rPr>
              <w:t xml:space="preserve">Treasury</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9">
            <w:pPr>
              <w:spacing w:after="0" w:lineRule="auto"/>
              <w:rPr>
                <w:rFonts w:ascii="Calibri" w:cs="Calibri" w:eastAsia="Calibri" w:hAnsi="Calibri"/>
              </w:rPr>
            </w:pPr>
            <w:r w:rsidDel="00000000" w:rsidR="00000000" w:rsidRPr="00000000">
              <w:rPr>
                <w:rFonts w:ascii="Calibri" w:cs="Calibri" w:eastAsia="Calibri" w:hAnsi="Calibri"/>
                <w:rtl w:val="0"/>
              </w:rPr>
              <w:t xml:space="preserve">Treasury</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8A">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12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8F">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100%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9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1">
            <w:pPr>
              <w:spacing w:after="0" w:lineRule="auto"/>
              <w:rPr>
                <w:rFonts w:ascii="Calibri" w:cs="Calibri" w:eastAsia="Calibri" w:hAnsi="Calibri"/>
              </w:rPr>
            </w:pPr>
            <w:r w:rsidDel="00000000" w:rsidR="00000000" w:rsidRPr="00000000">
              <w:rPr>
                <w:rFonts w:ascii="Calibri" w:cs="Calibri" w:eastAsia="Calibri" w:hAnsi="Calibri"/>
                <w:rtl w:val="0"/>
              </w:rPr>
              <w:t xml:space="preserve">Tax</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2">
            <w:pPr>
              <w:spacing w:after="0" w:lineRule="auto"/>
              <w:rPr>
                <w:rFonts w:ascii="Calibri" w:cs="Calibri" w:eastAsia="Calibri" w:hAnsi="Calibri"/>
                <w:color w:val="a6a6a6"/>
              </w:rPr>
            </w:pPr>
            <w:r w:rsidDel="00000000" w:rsidR="00000000" w:rsidRPr="00000000">
              <w:rPr>
                <w:rFonts w:ascii="Calibri" w:cs="Calibri" w:eastAsia="Calibri" w:hAnsi="Calibri"/>
                <w:rtl w:val="0"/>
              </w:rPr>
              <w:t xml:space="preserve">Tax</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93">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49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106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98">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86%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9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A">
            <w:pPr>
              <w:spacing w:after="0" w:lineRule="auto"/>
              <w:rPr>
                <w:rFonts w:ascii="Calibri" w:cs="Calibri" w:eastAsia="Calibri" w:hAnsi="Calibri"/>
              </w:rPr>
            </w:pPr>
            <w:r w:rsidDel="00000000" w:rsidR="00000000" w:rsidRPr="00000000">
              <w:rPr>
                <w:rFonts w:ascii="Calibri" w:cs="Calibri" w:eastAsia="Calibri" w:hAnsi="Calibri"/>
                <w:rtl w:val="0"/>
              </w:rPr>
              <w:t xml:space="preserve">Close Systems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B">
            <w:pPr>
              <w:spacing w:after="0" w:lineRule="auto"/>
              <w:rPr>
                <w:rFonts w:ascii="Calibri" w:cs="Calibri" w:eastAsia="Calibri" w:hAnsi="Calibri"/>
              </w:rPr>
            </w:pPr>
            <w:r w:rsidDel="00000000" w:rsidR="00000000" w:rsidRPr="00000000">
              <w:rPr>
                <w:rFonts w:ascii="Calibri" w:cs="Calibri" w:eastAsia="Calibri" w:hAnsi="Calibri"/>
                <w:rtl w:val="0"/>
              </w:rPr>
              <w:t xml:space="preserve">Accounting</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9C">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49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A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54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A1">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10%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A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3">
            <w:pPr>
              <w:spacing w:after="0" w:lineRule="auto"/>
              <w:rPr>
                <w:rFonts w:ascii="Calibri" w:cs="Calibri" w:eastAsia="Calibri" w:hAnsi="Calibri"/>
              </w:rPr>
            </w:pPr>
            <w:r w:rsidDel="00000000" w:rsidR="00000000" w:rsidRPr="00000000">
              <w:rPr>
                <w:rFonts w:ascii="Calibri" w:cs="Calibri" w:eastAsia="Calibri" w:hAnsi="Calibri"/>
                <w:rtl w:val="0"/>
              </w:rPr>
              <w:t xml:space="preserve">Automation Services</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4">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A5">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48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55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AA">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15%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A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Knowledge Services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AD">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AE">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A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51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B1">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B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51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B3">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B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5">
            <w:pPr>
              <w:spacing w:after="0" w:lineRule="auto"/>
              <w:rPr>
                <w:rFonts w:ascii="Calibri" w:cs="Calibri" w:eastAsia="Calibri" w:hAnsi="Calibri"/>
              </w:rPr>
            </w:pPr>
            <w:r w:rsidDel="00000000" w:rsidR="00000000" w:rsidRPr="00000000">
              <w:rPr>
                <w:rFonts w:ascii="Calibri" w:cs="Calibri" w:eastAsia="Calibri" w:hAnsi="Calibri"/>
                <w:rtl w:val="0"/>
              </w:rPr>
              <w:t xml:space="preserve">Non-OFA Receivables</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6">
            <w:pPr>
              <w:spacing w:after="0" w:lineRule="auto"/>
              <w:rPr>
                <w:rFonts w:ascii="Calibri" w:cs="Calibri" w:eastAsia="Calibri" w:hAnsi="Calibri"/>
                <w:color w:val="a6a6a6"/>
              </w:rPr>
            </w:pPr>
            <w:r w:rsidDel="00000000" w:rsidR="00000000" w:rsidRPr="00000000">
              <w:rPr>
                <w:rFonts w:ascii="Calibri" w:cs="Calibri" w:eastAsia="Calibri" w:hAnsi="Calibri"/>
                <w:rtl w:val="0"/>
              </w:rPr>
              <w:t xml:space="preserve">Oracle Footprint Reduction</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11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15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26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BC">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136%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B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BE">
            <w:pPr>
              <w:spacing w:after="0" w:lineRule="auto"/>
              <w:rPr>
                <w:rFonts w:ascii="Calibri" w:cs="Calibri" w:eastAsia="Calibri" w:hAnsi="Calibri"/>
              </w:rPr>
            </w:pPr>
            <w:r w:rsidDel="00000000" w:rsidR="00000000" w:rsidRPr="00000000">
              <w:rPr>
                <w:rFonts w:ascii="Calibri" w:cs="Calibri" w:eastAsia="Calibri" w:hAnsi="Calibri"/>
                <w:rtl w:val="0"/>
              </w:rPr>
              <w:t xml:space="preserve">Non-OFA Payment Orchestration</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BF">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C0">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C1">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24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C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C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29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C5">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21%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C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7">
            <w:pPr>
              <w:spacing w:after="0" w:lineRule="auto"/>
              <w:rPr>
                <w:rFonts w:ascii="Calibri" w:cs="Calibri" w:eastAsia="Calibri" w:hAnsi="Calibri"/>
              </w:rPr>
            </w:pPr>
            <w:r w:rsidDel="00000000" w:rsidR="00000000" w:rsidRPr="00000000">
              <w:rPr>
                <w:rFonts w:ascii="Calibri" w:cs="Calibri" w:eastAsia="Calibri" w:hAnsi="Calibri"/>
                <w:rtl w:val="0"/>
              </w:rPr>
              <w:t xml:space="preserve">Fixed Assets Automation</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8">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C9">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29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C">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29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CE">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C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14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0">
            <w:pPr>
              <w:spacing w:after="0" w:lineRule="auto"/>
              <w:rPr>
                <w:rFonts w:ascii="Calibri" w:cs="Calibri" w:eastAsia="Calibri" w:hAnsi="Calibri"/>
              </w:rPr>
            </w:pPr>
            <w:r w:rsidDel="00000000" w:rsidR="00000000" w:rsidRPr="00000000">
              <w:rPr>
                <w:rFonts w:ascii="Calibri" w:cs="Calibri" w:eastAsia="Calibri" w:hAnsi="Calibri"/>
                <w:rtl w:val="0"/>
              </w:rPr>
              <w:t xml:space="preserve">Intercompany</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1">
            <w:pPr>
              <w:spacing w:after="0" w:lineRule="auto"/>
              <w:rPr>
                <w:rFonts w:ascii="Calibri" w:cs="Calibri" w:eastAsia="Calibri" w:hAnsi="Calibri"/>
              </w:rPr>
            </w:pPr>
            <w:r w:rsidDel="00000000" w:rsidR="00000000" w:rsidRPr="00000000">
              <w:rPr>
                <w:rFonts w:ascii="Calibri" w:cs="Calibri" w:eastAsia="Calibri" w:hAnsi="Calibri"/>
                <w:rtl w:val="0"/>
              </w:rPr>
              <w:t xml:space="preserve">Multiple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D2">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19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5">
            <w:pPr>
              <w:spacing w:after="0" w:lineRule="auto"/>
              <w:jc w:val="right"/>
              <w:rPr>
                <w:rFonts w:ascii="Calibri" w:cs="Calibri" w:eastAsia="Calibri" w:hAnsi="Calibri"/>
                <w:color w:val="ff0000"/>
              </w:rPr>
            </w:pPr>
            <w:r w:rsidDel="00000000" w:rsidR="00000000" w:rsidRPr="00000000">
              <w:rPr>
                <w:rFonts w:ascii="Calibri" w:cs="Calibri" w:eastAsia="Calibri" w:hAnsi="Calibri"/>
                <w:rtl w:val="0"/>
              </w:rPr>
              <w:t xml:space="preserve">10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29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7">
            <w:pPr>
              <w:spacing w:after="0" w:lineRule="auto"/>
              <w:jc w:val="right"/>
              <w:rPr>
                <w:rFonts w:ascii="Calibri" w:cs="Calibri" w:eastAsia="Calibri" w:hAnsi="Calibri"/>
                <w:color w:val="ff0000"/>
              </w:rPr>
            </w:pPr>
            <w:r w:rsidDel="00000000" w:rsidR="00000000" w:rsidRPr="00000000">
              <w:rPr>
                <w:rFonts w:ascii="Calibri" w:cs="Calibri" w:eastAsia="Calibri" w:hAnsi="Calibri"/>
                <w:color w:val="000080"/>
                <w:rtl w:val="0"/>
              </w:rPr>
              <w:t xml:space="preserve">53%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D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15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D9">
            <w:pPr>
              <w:spacing w:after="0" w:lineRule="auto"/>
              <w:rPr>
                <w:rFonts w:ascii="Calibri" w:cs="Calibri" w:eastAsia="Calibri" w:hAnsi="Calibri"/>
              </w:rPr>
            </w:pPr>
            <w:r w:rsidDel="00000000" w:rsidR="00000000" w:rsidRPr="00000000">
              <w:rPr>
                <w:rFonts w:ascii="Calibri" w:cs="Calibri" w:eastAsia="Calibri" w:hAnsi="Calibri"/>
                <w:rtl w:val="0"/>
              </w:rPr>
              <w:t xml:space="preserve">Statutory &amp; Compliance</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DA">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DB">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D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DE">
            <w:pPr>
              <w:spacing w:after="0" w:lineRule="auto"/>
              <w:jc w:val="right"/>
              <w:rPr>
                <w:rFonts w:ascii="Calibri" w:cs="Calibri" w:eastAsia="Calibri" w:hAnsi="Calibri"/>
                <w:color w:val="ff0000"/>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D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0">
            <w:pPr>
              <w:spacing w:after="0" w:lineRule="auto"/>
              <w:jc w:val="right"/>
              <w:rPr>
                <w:rFonts w:ascii="Calibri" w:cs="Calibri" w:eastAsia="Calibri" w:hAnsi="Calibri"/>
                <w:color w:val="ff0000"/>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E1">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2">
            <w:pPr>
              <w:spacing w:after="0" w:lineRule="auto"/>
              <w:rPr>
                <w:rFonts w:ascii="Calibri" w:cs="Calibri" w:eastAsia="Calibri" w:hAnsi="Calibri"/>
              </w:rPr>
            </w:pPr>
            <w:r w:rsidDel="00000000" w:rsidR="00000000" w:rsidRPr="00000000">
              <w:rPr>
                <w:rFonts w:ascii="Calibri" w:cs="Calibri" w:eastAsia="Calibri" w:hAnsi="Calibri"/>
                <w:rtl w:val="0"/>
              </w:rPr>
              <w:t xml:space="preserve">RISC</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3">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E4">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35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E9">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17%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E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B">
            <w:pPr>
              <w:spacing w:after="0" w:lineRule="auto"/>
              <w:rPr>
                <w:rFonts w:ascii="Calibri" w:cs="Calibri" w:eastAsia="Calibri" w:hAnsi="Calibri"/>
              </w:rPr>
            </w:pPr>
            <w:r w:rsidDel="00000000" w:rsidR="00000000" w:rsidRPr="00000000">
              <w:rPr>
                <w:rFonts w:ascii="Calibri" w:cs="Calibri" w:eastAsia="Calibri" w:hAnsi="Calibri"/>
                <w:rtl w:val="0"/>
              </w:rPr>
              <w:t xml:space="preserve">FinTech Risk &amp; Intelligence</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C">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ED">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E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12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0">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1">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8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2">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(33%)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0F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4">
            <w:pPr>
              <w:spacing w:after="0" w:lineRule="auto"/>
              <w:rPr>
                <w:rFonts w:ascii="Calibri" w:cs="Calibri" w:eastAsia="Calibri" w:hAnsi="Calibri"/>
              </w:rPr>
            </w:pPr>
            <w:r w:rsidDel="00000000" w:rsidR="00000000" w:rsidRPr="00000000">
              <w:rPr>
                <w:rFonts w:ascii="Calibri" w:cs="Calibri" w:eastAsia="Calibri" w:hAnsi="Calibri"/>
                <w:rtl w:val="0"/>
              </w:rPr>
              <w:t xml:space="preserve">Machine Learning</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5">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11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16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FB">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45%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0F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19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Kingpin</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0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0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0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8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04">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33%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10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20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Marketing Platform</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9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0D">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11% </w:t>
            </w:r>
            <w:r w:rsidDel="00000000" w:rsidR="00000000" w:rsidRPr="00000000">
              <w:rPr>
                <w:rtl w:val="0"/>
              </w:rPr>
            </w:r>
          </w:p>
        </w:tc>
      </w:tr>
      <w:tr>
        <w:trPr>
          <w:cantSplit w:val="0"/>
          <w:trHeight w:val="300"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0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Infrastructure</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1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38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14">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1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36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16">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(5%) </w:t>
            </w:r>
            <w:r w:rsidDel="00000000" w:rsidR="00000000" w:rsidRPr="00000000">
              <w:rPr>
                <w:rtl w:val="0"/>
              </w:rPr>
            </w:r>
          </w:p>
        </w:tc>
      </w:tr>
      <w:tr>
        <w:trPr>
          <w:cantSplit w:val="0"/>
          <w:trHeight w:val="283" w:hRule="atLeast"/>
          <w:tblHeader w:val="0"/>
        </w:trPr>
        <w:tc>
          <w:tcPr>
            <w:tcBorders>
              <w:top w:color="a6a6a6" w:space="0" w:sz="4" w:val="single"/>
              <w:bottom w:color="a6a6a6" w:space="0" w:sz="4" w:val="single"/>
              <w:right w:color="a6a6a6" w:space="0" w:sz="4" w:val="single"/>
            </w:tcBorders>
            <w:shd w:fill="f2f2f2" w:val="clear"/>
          </w:tcPr>
          <w:p w:rsidR="00000000" w:rsidDel="00000000" w:rsidP="00000000" w:rsidRDefault="00000000" w:rsidRPr="00000000" w14:paraId="0000011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FinTech Admin &amp; Leadership</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Overhead</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4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F">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67% </w:t>
            </w:r>
            <w:r w:rsidDel="00000000" w:rsidR="00000000" w:rsidRPr="00000000">
              <w:rPr>
                <w:rtl w:val="0"/>
              </w:rPr>
            </w:r>
          </w:p>
        </w:tc>
      </w:tr>
      <w:tr>
        <w:trPr>
          <w:cantSplit w:val="0"/>
          <w:trHeight w:val="283" w:hRule="atLeast"/>
          <w:tblHeader w:val="0"/>
        </w:trPr>
        <w:tc>
          <w:tcPr>
            <w:tcBorders>
              <w:top w:color="a6a6a6" w:space="0" w:sz="4" w:val="single"/>
              <w:bottom w:color="a6a6a6" w:space="0" w:sz="6" w:val="single"/>
              <w:right w:color="a6a6a6" w:space="0" w:sz="4" w:val="single"/>
            </w:tcBorders>
            <w:shd w:fill="auto" w:val="clear"/>
          </w:tcPr>
          <w:p w:rsidR="00000000" w:rsidDel="00000000" w:rsidP="00000000" w:rsidRDefault="00000000" w:rsidRPr="00000000" w14:paraId="0000012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Fonts w:ascii="Calibri" w:cs="Calibri" w:eastAsia="Calibri" w:hAnsi="Calibri"/>
                <w:rtl w:val="0"/>
              </w:rPr>
              <w:t xml:space="preserve">FinTech BizOps</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tl w:val="0"/>
              </w:rPr>
            </w:r>
          </w:p>
        </w:tc>
        <w:tc>
          <w:tcPr>
            <w:gridSpan w:val="2"/>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6">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 </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28">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90"/>
        </w:tabs>
        <w:spacing w:after="160" w:before="120" w:line="259" w:lineRule="auto"/>
        <w:ind w:left="408"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FinTech’s 2020 target with Corp FP&amp;A is 542, and growth for 2021 is 120. The delta of +7 is due to 7 headcount funded by Tax in 2020 but report into FinTech. For 2021, we included this headcount in our OP1 ask, and Tax removed this from their forecast. We report 549 as our 2020 target and 113 as our growth to match with our headcount reporting throughout 2020.</w:t>
      </w:r>
    </w:p>
    <w:p w:rsidR="00000000" w:rsidDel="00000000" w:rsidP="00000000" w:rsidRDefault="00000000" w:rsidRPr="00000000" w14:paraId="0000012A">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B: Headcount by Location</w:t>
      </w:r>
    </w:p>
    <w:tbl>
      <w:tblPr>
        <w:tblStyle w:val="Table2"/>
        <w:tblW w:w="9367.0" w:type="dxa"/>
        <w:jc w:val="left"/>
        <w:tblLayout w:type="fixed"/>
        <w:tblLook w:val="0400"/>
      </w:tblPr>
      <w:tblGrid>
        <w:gridCol w:w="419"/>
        <w:gridCol w:w="1440"/>
        <w:gridCol w:w="1440"/>
        <w:gridCol w:w="1440"/>
        <w:gridCol w:w="262"/>
        <w:gridCol w:w="1080"/>
        <w:gridCol w:w="1080"/>
        <w:gridCol w:w="1080"/>
        <w:gridCol w:w="262"/>
        <w:gridCol w:w="864"/>
        <w:tblGridChange w:id="0">
          <w:tblGrid>
            <w:gridCol w:w="419"/>
            <w:gridCol w:w="1440"/>
            <w:gridCol w:w="1440"/>
            <w:gridCol w:w="1440"/>
            <w:gridCol w:w="262"/>
            <w:gridCol w:w="1080"/>
            <w:gridCol w:w="1080"/>
            <w:gridCol w:w="1080"/>
            <w:gridCol w:w="262"/>
            <w:gridCol w:w="864"/>
          </w:tblGrid>
        </w:tblGridChange>
      </w:tblGrid>
      <w:tr>
        <w:trPr>
          <w:cantSplit w:val="0"/>
          <w:trHeight w:val="540" w:hRule="atLeast"/>
          <w:tblHeader w:val="0"/>
        </w:trPr>
        <w:tc>
          <w:tcPr>
            <w:tcBorders>
              <w:top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2B">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2C">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Location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2D">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Country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2E">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Region </w:t>
            </w:r>
          </w:p>
        </w:tc>
        <w:tc>
          <w:tcPr>
            <w:tcBorders>
              <w:top w:color="000000" w:space="0" w:sz="0" w:val="nil"/>
              <w:left w:color="000000" w:space="0" w:sz="0" w:val="nil"/>
              <w:bottom w:color="000000" w:space="0" w:sz="0" w:val="nil"/>
              <w:right w:color="a6a6a6" w:space="0" w:sz="4" w:val="single"/>
            </w:tcBorders>
            <w:shd w:fill="auto" w:val="clear"/>
            <w:vAlign w:val="bottom"/>
          </w:tcPr>
          <w:p w:rsidR="00000000" w:rsidDel="00000000" w:rsidP="00000000" w:rsidRDefault="00000000" w:rsidRPr="00000000" w14:paraId="0000012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30">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2020</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31">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Approved Growth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32">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2021</w:t>
            </w:r>
          </w:p>
        </w:tc>
        <w:tc>
          <w:tcPr>
            <w:tcBorders>
              <w:top w:color="000000" w:space="0" w:sz="0" w:val="nil"/>
              <w:left w:color="000000" w:space="0" w:sz="0" w:val="nil"/>
              <w:bottom w:color="000000" w:space="0" w:sz="0" w:val="nil"/>
              <w:right w:color="a6a6a6" w:space="0" w:sz="4" w:val="single"/>
            </w:tcBorders>
            <w:shd w:fill="auto" w:val="clear"/>
            <w:vAlign w:val="bottom"/>
          </w:tcPr>
          <w:p w:rsidR="00000000" w:rsidDel="00000000" w:rsidP="00000000" w:rsidRDefault="00000000" w:rsidRPr="00000000" w14:paraId="00000133">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a6a6a6" w:space="0" w:sz="4" w:val="single"/>
              <w:right w:color="a6a6a6" w:space="0" w:sz="4" w:val="single"/>
            </w:tcBorders>
            <w:shd w:fill="auto" w:val="clear"/>
            <w:vAlign w:val="bottom"/>
          </w:tcPr>
          <w:p w:rsidR="00000000" w:rsidDel="00000000" w:rsidP="00000000" w:rsidRDefault="00000000" w:rsidRPr="00000000" w14:paraId="00000134">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Growth % </w:t>
            </w:r>
          </w:p>
        </w:tc>
      </w:tr>
      <w:tr>
        <w:trPr>
          <w:cantSplit w:val="0"/>
          <w:trHeight w:val="282" w:hRule="atLeast"/>
          <w:tblHeader w:val="0"/>
        </w:trPr>
        <w:tc>
          <w:tcPr>
            <w:tcBorders>
              <w:top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5">
            <w:pPr>
              <w:spacing w:after="0" w:lineRule="auto"/>
              <w:jc w:val="right"/>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6">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7">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8">
            <w:pPr>
              <w:spacing w:after="0" w:lineRule="auto"/>
              <w:rPr>
                <w:rFonts w:ascii="Calibri" w:cs="Calibri" w:eastAsia="Calibri" w:hAnsi="Calibri"/>
                <w:b w:val="1"/>
                <w:bCs w:val="1"/>
                <w:color w:val="131a22"/>
              </w:rPr>
            </w:pPr>
            <w:r w:rsidDel="00000000" w:rsidR="00000000" w:rsidRPr="00000000">
              <w:rPr>
                <w:rFonts w:ascii="Calibri" w:cs="Calibri" w:eastAsia="Calibri" w:hAnsi="Calibri"/>
                <w:b w:val="1"/>
                <w:bCs w:val="1"/>
                <w:color w:val="131a22"/>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9">
            <w:pPr>
              <w:spacing w:after="0" w:lineRule="auto"/>
              <w:rPr>
                <w:rFonts w:ascii="Calibri" w:cs="Calibri" w:eastAsia="Calibri" w:hAnsi="Calibri"/>
                <w:b w:val="1"/>
                <w:bCs w:val="1"/>
                <w:color w:val="131a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A">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B">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E">
            <w:pPr>
              <w:spacing w:after="0" w:lineRule="auto"/>
              <w:jc w:val="right"/>
              <w:rPr>
                <w:rFonts w:ascii="Times New Roman" w:cs="Times New Roman" w:eastAsia="Times New Roman" w:hAnsi="Times New Roman"/>
              </w:rPr>
            </w:pPr>
            <w:r w:rsidDel="00000000" w:rsidR="00000000" w:rsidRPr="00000000">
              <w:rPr>
                <w:rtl w:val="0"/>
              </w:rPr>
            </w:r>
          </w:p>
        </w:tc>
      </w:tr>
      <w:tr>
        <w:trPr>
          <w:cantSplit w:val="0"/>
          <w:trHeight w:val="282" w:hRule="atLeast"/>
          <w:tblHeader w:val="0"/>
        </w:trPr>
        <w:tc>
          <w:tcPr>
            <w:tcBorders>
              <w:top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2">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spacing w:after="0" w:lineRule="auto"/>
              <w:jc w:val="right"/>
              <w:rPr>
                <w:rFonts w:ascii="Calibri" w:cs="Calibri" w:eastAsia="Calibri" w:hAnsi="Calibri"/>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44">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549 </w:t>
            </w:r>
          </w:p>
        </w:tc>
        <w:tc>
          <w:tcPr>
            <w:tcBorders>
              <w:top w:color="a6a6a6" w:space="0" w:sz="4" w:val="single"/>
              <w:left w:color="000000" w:space="0" w:sz="0" w:val="nil"/>
              <w:bottom w:color="a6a6a6" w:space="0" w:sz="4" w:val="single"/>
              <w:right w:color="a6a6a6" w:space="0" w:sz="4" w:val="single"/>
            </w:tcBorders>
            <w:shd w:fill="auto" w:val="clear"/>
          </w:tcPr>
          <w:p w:rsidR="00000000" w:rsidDel="00000000" w:rsidP="00000000" w:rsidRDefault="00000000" w:rsidRPr="00000000" w14:paraId="00000145">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113 </w:t>
            </w:r>
          </w:p>
        </w:tc>
        <w:tc>
          <w:tcPr>
            <w:tcBorders>
              <w:top w:color="a6a6a6" w:space="0" w:sz="4" w:val="single"/>
              <w:left w:color="000000" w:space="0" w:sz="0" w:val="nil"/>
              <w:bottom w:color="a6a6a6" w:space="0" w:sz="4" w:val="single"/>
              <w:right w:color="a6a6a6" w:space="0" w:sz="4" w:val="single"/>
            </w:tcBorders>
            <w:shd w:fill="auto" w:val="clear"/>
          </w:tcPr>
          <w:p w:rsidR="00000000" w:rsidDel="00000000" w:rsidP="00000000" w:rsidRDefault="00000000" w:rsidRPr="00000000" w14:paraId="00000146">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662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spacing w:after="0" w:lineRule="auto"/>
              <w:jc w:val="right"/>
              <w:rPr>
                <w:rFonts w:ascii="Calibri" w:cs="Calibri" w:eastAsia="Calibri" w:hAnsi="Calibri"/>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48">
            <w:pPr>
              <w:spacing w:after="0" w:lineRule="auto"/>
              <w:jc w:val="right"/>
              <w:rPr>
                <w:rFonts w:ascii="Calibri" w:cs="Calibri" w:eastAsia="Calibri" w:hAnsi="Calibri"/>
                <w:b w:val="1"/>
                <w:bCs w:val="1"/>
              </w:rPr>
            </w:pPr>
            <w:r w:rsidDel="00000000" w:rsidR="00000000" w:rsidRPr="00000000">
              <w:rPr>
                <w:rFonts w:ascii="Calibri" w:cs="Calibri" w:eastAsia="Calibri" w:hAnsi="Calibri"/>
                <w:b w:val="1"/>
                <w:bCs w:val="1"/>
                <w:color w:val="000080"/>
                <w:rtl w:val="0"/>
              </w:rPr>
              <w:t xml:space="preserve">21%</w:t>
            </w:r>
            <w:r w:rsidDel="00000000" w:rsidR="00000000" w:rsidRPr="00000000">
              <w:rPr>
                <w:rFonts w:ascii="Calibri" w:cs="Calibri" w:eastAsia="Calibri" w:hAnsi="Calibri"/>
                <w:b w:val="1"/>
                <w:bCs w:val="1"/>
                <w:rtl w:val="0"/>
              </w:rPr>
              <w:t xml:space="preserve"> </w:t>
            </w:r>
          </w:p>
        </w:tc>
      </w:tr>
      <w:tr>
        <w:trPr>
          <w:cantSplit w:val="0"/>
          <w:trHeight w:val="282" w:hRule="atLeast"/>
          <w:tblHeader w:val="0"/>
        </w:trPr>
        <w:tc>
          <w:tcPr>
            <w:tcBorders>
              <w:top w:color="000000" w:space="0" w:sz="0" w:val="nil"/>
              <w:bottom w:color="ffffff" w:space="0" w:sz="12" w:val="single"/>
              <w:right w:color="ffffff" w:space="0" w:sz="12" w:val="single"/>
            </w:tcBorders>
            <w:shd w:fill="auto" w:val="clear"/>
          </w:tcPr>
          <w:p w:rsidR="00000000" w:rsidDel="00000000" w:rsidP="00000000" w:rsidRDefault="00000000" w:rsidRPr="00000000" w14:paraId="00000149">
            <w:pPr>
              <w:spacing w:after="0" w:lineRule="auto"/>
              <w:jc w:val="right"/>
              <w:rPr>
                <w:rFonts w:ascii="Calibri" w:cs="Calibri" w:eastAsia="Calibri" w:hAnsi="Calibri"/>
                <w:b w:val="1"/>
                <w:bCs w:val="1"/>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A">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B">
            <w:pPr>
              <w:spacing w:after="0" w:lineRule="auto"/>
              <w:jc w:val="right"/>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C">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D">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E">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4F">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50">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ffffff" w:space="0" w:sz="12" w:val="single"/>
            </w:tcBorders>
            <w:shd w:fill="auto" w:val="clear"/>
          </w:tcPr>
          <w:p w:rsidR="00000000" w:rsidDel="00000000" w:rsidP="00000000" w:rsidRDefault="00000000" w:rsidRPr="00000000" w14:paraId="00000151">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ffffff" w:space="0" w:sz="12" w:val="single"/>
              <w:bottom w:color="ffffff" w:space="0" w:sz="12" w:val="single"/>
              <w:right w:color="000000" w:space="0" w:sz="0" w:val="nil"/>
            </w:tcBorders>
            <w:shd w:fill="auto" w:val="clear"/>
          </w:tcPr>
          <w:p w:rsidR="00000000" w:rsidDel="00000000" w:rsidP="00000000" w:rsidRDefault="00000000" w:rsidRPr="00000000" w14:paraId="00000152">
            <w:pPr>
              <w:spacing w:after="0" w:lineRule="auto"/>
              <w:rPr>
                <w:rFonts w:ascii="Times New Roman" w:cs="Times New Roman" w:eastAsia="Times New Roman" w:hAnsi="Times New Roman"/>
              </w:rPr>
            </w:pP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5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01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54">
            <w:pPr>
              <w:spacing w:after="0" w:lineRule="auto"/>
              <w:rPr>
                <w:rFonts w:ascii="Calibri" w:cs="Calibri" w:eastAsia="Calibri" w:hAnsi="Calibri"/>
              </w:rPr>
            </w:pPr>
            <w:r w:rsidDel="00000000" w:rsidR="00000000" w:rsidRPr="00000000">
              <w:rPr>
                <w:rFonts w:ascii="Calibri" w:cs="Calibri" w:eastAsia="Calibri" w:hAnsi="Calibri"/>
                <w:rtl w:val="0"/>
              </w:rPr>
              <w:t xml:space="preserve">Seattle</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55">
            <w:pPr>
              <w:spacing w:after="0" w:lineRule="auto"/>
              <w:rPr>
                <w:rFonts w:ascii="Calibri" w:cs="Calibri" w:eastAsia="Calibri" w:hAnsi="Calibri"/>
              </w:rPr>
            </w:pPr>
            <w:r w:rsidDel="00000000" w:rsidR="00000000" w:rsidRPr="00000000">
              <w:rPr>
                <w:rFonts w:ascii="Calibri" w:cs="Calibri" w:eastAsia="Calibri" w:hAnsi="Calibri"/>
                <w:rtl w:val="0"/>
              </w:rPr>
              <w:t xml:space="preserve">US</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56">
            <w:pPr>
              <w:spacing w:after="0" w:lineRule="auto"/>
              <w:rPr>
                <w:rFonts w:ascii="Calibri" w:cs="Calibri" w:eastAsia="Calibri" w:hAnsi="Calibri"/>
              </w:rPr>
            </w:pPr>
            <w:r w:rsidDel="00000000" w:rsidR="00000000" w:rsidRPr="00000000">
              <w:rPr>
                <w:rFonts w:ascii="Calibri" w:cs="Calibri" w:eastAsia="Calibri" w:hAnsi="Calibri"/>
                <w:rtl w:val="0"/>
              </w:rPr>
              <w:t xml:space="preserve">AMER</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57">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auto" w:val="clear"/>
          </w:tcPr>
          <w:p w:rsidR="00000000" w:rsidDel="00000000" w:rsidP="00000000" w:rsidRDefault="00000000" w:rsidRPr="00000000" w14:paraId="0000015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275 </w:t>
            </w:r>
          </w:p>
        </w:tc>
        <w:tc>
          <w:tcPr>
            <w:tcBorders>
              <w:top w:color="a6a6a6" w:space="0" w:sz="4" w:val="single"/>
              <w:left w:color="bfbfbf" w:space="0" w:sz="4" w:val="single"/>
              <w:bottom w:color="a6a6a6" w:space="0" w:sz="4" w:val="single"/>
              <w:right w:color="bfbfbf" w:space="0" w:sz="4" w:val="single"/>
            </w:tcBorders>
            <w:shd w:fill="auto" w:val="clear"/>
          </w:tcPr>
          <w:p w:rsidR="00000000" w:rsidDel="00000000" w:rsidP="00000000" w:rsidRDefault="00000000" w:rsidRPr="00000000" w14:paraId="00000159">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5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260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5B">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auto" w:val="clear"/>
          </w:tcPr>
          <w:p w:rsidR="00000000" w:rsidDel="00000000" w:rsidP="00000000" w:rsidRDefault="00000000" w:rsidRPr="00000000" w14:paraId="0000015C">
            <w:pPr>
              <w:spacing w:after="0" w:lineRule="auto"/>
              <w:jc w:val="right"/>
              <w:rPr>
                <w:rFonts w:ascii="Calibri" w:cs="Calibri" w:eastAsia="Calibri" w:hAnsi="Calibri"/>
              </w:rPr>
            </w:pPr>
            <w:r w:rsidDel="00000000" w:rsidR="00000000" w:rsidRPr="00000000">
              <w:rPr>
                <w:rFonts w:ascii="Calibri" w:cs="Calibri" w:eastAsia="Calibri" w:hAnsi="Calibri"/>
                <w:color w:val="ff0000"/>
                <w:rtl w:val="0"/>
              </w:rPr>
              <w:t xml:space="preserve">(5%)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15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02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5E">
            <w:pPr>
              <w:spacing w:after="0" w:lineRule="auto"/>
              <w:rPr>
                <w:rFonts w:ascii="Calibri" w:cs="Calibri" w:eastAsia="Calibri" w:hAnsi="Calibri"/>
              </w:rPr>
            </w:pPr>
            <w:r w:rsidDel="00000000" w:rsidR="00000000" w:rsidRPr="00000000">
              <w:rPr>
                <w:rFonts w:ascii="Calibri" w:cs="Calibri" w:eastAsia="Calibri" w:hAnsi="Calibri"/>
                <w:rtl w:val="0"/>
              </w:rPr>
              <w:t xml:space="preserve">Arlington</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5F">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60">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61">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f5f5f5" w:val="clear"/>
          </w:tcPr>
          <w:p w:rsidR="00000000" w:rsidDel="00000000" w:rsidP="00000000" w:rsidRDefault="00000000" w:rsidRPr="00000000" w14:paraId="0000016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35 </w:t>
            </w:r>
          </w:p>
        </w:tc>
        <w:tc>
          <w:tcPr>
            <w:tcBorders>
              <w:top w:color="a6a6a6" w:space="0" w:sz="4" w:val="single"/>
              <w:left w:color="bfbfbf" w:space="0" w:sz="4" w:val="single"/>
              <w:bottom w:color="a6a6a6" w:space="0" w:sz="4" w:val="single"/>
              <w:right w:color="a6a6a6" w:space="0" w:sz="4" w:val="single"/>
            </w:tcBorders>
            <w:shd w:fill="f5f5f5" w:val="clear"/>
          </w:tcPr>
          <w:p w:rsidR="00000000" w:rsidDel="00000000" w:rsidP="00000000" w:rsidRDefault="00000000" w:rsidRPr="00000000" w14:paraId="0000016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31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6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66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65">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f5f5f5" w:val="clear"/>
          </w:tcPr>
          <w:p w:rsidR="00000000" w:rsidDel="00000000" w:rsidP="00000000" w:rsidRDefault="00000000" w:rsidRPr="00000000" w14:paraId="00000166">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89%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6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03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68">
            <w:pPr>
              <w:spacing w:after="0" w:lineRule="auto"/>
              <w:rPr>
                <w:rFonts w:ascii="Calibri" w:cs="Calibri" w:eastAsia="Calibri" w:hAnsi="Calibri"/>
              </w:rPr>
            </w:pPr>
            <w:r w:rsidDel="00000000" w:rsidR="00000000" w:rsidRPr="00000000">
              <w:rPr>
                <w:rFonts w:ascii="Calibri" w:cs="Calibri" w:eastAsia="Calibri" w:hAnsi="Calibri"/>
                <w:rtl w:val="0"/>
              </w:rPr>
              <w:t xml:space="preserve">New Jersey</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69">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6A">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6B">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auto" w:val="clear"/>
          </w:tcPr>
          <w:p w:rsidR="00000000" w:rsidDel="00000000" w:rsidP="00000000" w:rsidRDefault="00000000" w:rsidRPr="00000000" w14:paraId="0000016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55 </w:t>
            </w:r>
          </w:p>
        </w:tc>
        <w:tc>
          <w:tcPr>
            <w:tcBorders>
              <w:top w:color="a6a6a6" w:space="0" w:sz="4" w:val="single"/>
              <w:left w:color="bfbfbf" w:space="0" w:sz="4" w:val="single"/>
              <w:bottom w:color="a6a6a6" w:space="0" w:sz="4" w:val="single"/>
              <w:right w:color="bfbfbf" w:space="0" w:sz="4" w:val="single"/>
            </w:tcBorders>
            <w:shd w:fill="auto" w:val="clear"/>
          </w:tcPr>
          <w:p w:rsidR="00000000" w:rsidDel="00000000" w:rsidP="00000000" w:rsidRDefault="00000000" w:rsidRPr="00000000" w14:paraId="0000016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13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6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68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6F">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auto" w:val="clear"/>
          </w:tcPr>
          <w:p w:rsidR="00000000" w:rsidDel="00000000" w:rsidP="00000000" w:rsidRDefault="00000000" w:rsidRPr="00000000" w14:paraId="00000170">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24%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171">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04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72">
            <w:pPr>
              <w:spacing w:after="0" w:lineRule="auto"/>
              <w:rPr>
                <w:rFonts w:ascii="Calibri" w:cs="Calibri" w:eastAsia="Calibri" w:hAnsi="Calibri"/>
              </w:rPr>
            </w:pPr>
            <w:r w:rsidDel="00000000" w:rsidR="00000000" w:rsidRPr="00000000">
              <w:rPr>
                <w:rFonts w:ascii="Calibri" w:cs="Calibri" w:eastAsia="Calibri" w:hAnsi="Calibri"/>
                <w:rtl w:val="0"/>
              </w:rPr>
              <w:t xml:space="preserve">US Remote</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73">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74">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75">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f5f5f5" w:val="clear"/>
          </w:tcPr>
          <w:p w:rsidR="00000000" w:rsidDel="00000000" w:rsidP="00000000" w:rsidRDefault="00000000" w:rsidRPr="00000000" w14:paraId="0000017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22 </w:t>
            </w:r>
          </w:p>
        </w:tc>
        <w:tc>
          <w:tcPr>
            <w:tcBorders>
              <w:top w:color="a6a6a6" w:space="0" w:sz="4" w:val="single"/>
              <w:left w:color="bfbfbf" w:space="0" w:sz="4" w:val="single"/>
              <w:bottom w:color="a6a6a6" w:space="0" w:sz="4" w:val="single"/>
              <w:right w:color="bfbfbf" w:space="0" w:sz="4" w:val="single"/>
            </w:tcBorders>
            <w:shd w:fill="f5f5f5" w:val="clear"/>
          </w:tcPr>
          <w:p w:rsidR="00000000" w:rsidDel="00000000" w:rsidP="00000000" w:rsidRDefault="00000000" w:rsidRPr="00000000" w14:paraId="00000177">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78">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22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79">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f5f5f5" w:val="clear"/>
          </w:tcPr>
          <w:p w:rsidR="00000000" w:rsidDel="00000000" w:rsidP="00000000" w:rsidRDefault="00000000" w:rsidRPr="00000000" w14:paraId="0000017A">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7B">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05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7C">
            <w:pPr>
              <w:spacing w:after="0" w:lineRule="auto"/>
              <w:rPr>
                <w:rFonts w:ascii="Calibri" w:cs="Calibri" w:eastAsia="Calibri" w:hAnsi="Calibri"/>
              </w:rPr>
            </w:pPr>
            <w:r w:rsidDel="00000000" w:rsidR="00000000" w:rsidRPr="00000000">
              <w:rPr>
                <w:rFonts w:ascii="Calibri" w:cs="Calibri" w:eastAsia="Calibri" w:hAnsi="Calibri"/>
                <w:rtl w:val="0"/>
              </w:rPr>
              <w:t xml:space="preserve">Vancouver</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7D">
            <w:pPr>
              <w:spacing w:after="0" w:lineRule="auto"/>
              <w:rPr>
                <w:rFonts w:ascii="Calibri" w:cs="Calibri" w:eastAsia="Calibri" w:hAnsi="Calibri"/>
              </w:rPr>
            </w:pPr>
            <w:r w:rsidDel="00000000" w:rsidR="00000000" w:rsidRPr="00000000">
              <w:rPr>
                <w:rFonts w:ascii="Calibri" w:cs="Calibri" w:eastAsia="Calibri" w:hAnsi="Calibri"/>
                <w:rtl w:val="0"/>
              </w:rPr>
              <w:t xml:space="preserve">CAN</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7E">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7F">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auto" w:val="clear"/>
          </w:tcPr>
          <w:p w:rsidR="00000000" w:rsidDel="00000000" w:rsidP="00000000" w:rsidRDefault="00000000" w:rsidRPr="00000000" w14:paraId="0000018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a6a6a6" w:space="0" w:sz="4" w:val="single"/>
              <w:left w:color="bfbfbf" w:space="0" w:sz="4" w:val="single"/>
              <w:bottom w:color="a6a6a6" w:space="0" w:sz="4" w:val="single"/>
              <w:right w:color="bfbfbf" w:space="0" w:sz="4" w:val="single"/>
            </w:tcBorders>
            <w:shd w:fill="auto" w:val="clear"/>
          </w:tcPr>
          <w:p w:rsidR="00000000" w:rsidDel="00000000" w:rsidP="00000000" w:rsidRDefault="00000000" w:rsidRPr="00000000" w14:paraId="00000181">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8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83">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auto" w:val="clear"/>
          </w:tcPr>
          <w:p w:rsidR="00000000" w:rsidDel="00000000" w:rsidP="00000000" w:rsidRDefault="00000000" w:rsidRPr="00000000" w14:paraId="00000184">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18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06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86">
            <w:pPr>
              <w:spacing w:after="0" w:lineRule="auto"/>
              <w:rPr>
                <w:rFonts w:ascii="Calibri" w:cs="Calibri" w:eastAsia="Calibri" w:hAnsi="Calibri"/>
              </w:rPr>
            </w:pPr>
            <w:r w:rsidDel="00000000" w:rsidR="00000000" w:rsidRPr="00000000">
              <w:rPr>
                <w:rFonts w:ascii="Calibri" w:cs="Calibri" w:eastAsia="Calibri" w:hAnsi="Calibri"/>
                <w:rtl w:val="0"/>
              </w:rPr>
              <w:t xml:space="preserve">Toronto</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87">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88">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89">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f5f5f5" w:val="clear"/>
          </w:tcPr>
          <w:p w:rsidR="00000000" w:rsidDel="00000000" w:rsidP="00000000" w:rsidRDefault="00000000" w:rsidRPr="00000000" w14:paraId="0000018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a6a6a6" w:space="0" w:sz="4" w:val="single"/>
              <w:left w:color="bfbfbf" w:space="0" w:sz="4" w:val="single"/>
              <w:bottom w:color="a6a6a6" w:space="0" w:sz="4" w:val="single"/>
              <w:right w:color="bfbfbf" w:space="0" w:sz="4" w:val="single"/>
            </w:tcBorders>
            <w:shd w:fill="f5f5f5" w:val="clear"/>
          </w:tcPr>
          <w:p w:rsidR="00000000" w:rsidDel="00000000" w:rsidP="00000000" w:rsidRDefault="00000000" w:rsidRPr="00000000" w14:paraId="0000018B">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8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6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8D">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f5f5f5" w:val="clear"/>
          </w:tcPr>
          <w:p w:rsidR="00000000" w:rsidDel="00000000" w:rsidP="00000000" w:rsidRDefault="00000000" w:rsidRPr="00000000" w14:paraId="0000018E">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8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90">
            <w:pPr>
              <w:spacing w:after="0" w:lineRule="auto"/>
              <w:rPr>
                <w:rFonts w:ascii="Calibri" w:cs="Calibri" w:eastAsia="Calibri" w:hAnsi="Calibri"/>
              </w:rPr>
            </w:pPr>
            <w:r w:rsidDel="00000000" w:rsidR="00000000" w:rsidRPr="00000000">
              <w:rPr>
                <w:rFonts w:ascii="Calibri" w:cs="Calibri" w:eastAsia="Calibri" w:hAnsi="Calibri"/>
                <w:rtl w:val="0"/>
              </w:rPr>
              <w:t xml:space="preserve">Sao Paulo</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91">
            <w:pPr>
              <w:spacing w:after="0" w:lineRule="auto"/>
              <w:rPr>
                <w:rFonts w:ascii="Calibri" w:cs="Calibri" w:eastAsia="Calibri" w:hAnsi="Calibri"/>
              </w:rPr>
            </w:pPr>
            <w:r w:rsidDel="00000000" w:rsidR="00000000" w:rsidRPr="00000000">
              <w:rPr>
                <w:rFonts w:ascii="Calibri" w:cs="Calibri" w:eastAsia="Calibri" w:hAnsi="Calibri"/>
                <w:rtl w:val="0"/>
              </w:rPr>
              <w:t xml:space="preserve">BR</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92">
            <w:pPr>
              <w:spacing w:after="0" w:lineRule="auto"/>
              <w:rPr>
                <w:rFonts w:ascii="Calibri" w:cs="Calibri" w:eastAsia="Calibri" w:hAnsi="Calibri"/>
                <w:color w:val="a6a6a6"/>
              </w:rPr>
            </w:pPr>
            <w:r w:rsidDel="00000000" w:rsidR="00000000" w:rsidRPr="00000000">
              <w:rPr>
                <w:rFonts w:ascii="Calibri" w:cs="Calibri" w:eastAsia="Calibri" w:hAnsi="Calibri"/>
                <w:color w:val="a6a6a6"/>
                <w:rtl w:val="0"/>
              </w:rPr>
              <w:t xml:space="preserve">↓</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93">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auto" w:val="clear"/>
          </w:tcPr>
          <w:p w:rsidR="00000000" w:rsidDel="00000000" w:rsidP="00000000" w:rsidRDefault="00000000" w:rsidRPr="00000000" w14:paraId="0000019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12 </w:t>
            </w:r>
          </w:p>
        </w:tc>
        <w:tc>
          <w:tcPr>
            <w:tcBorders>
              <w:top w:color="a6a6a6" w:space="0" w:sz="4" w:val="single"/>
              <w:left w:color="bfbfbf" w:space="0" w:sz="4" w:val="single"/>
              <w:bottom w:color="a6a6a6" w:space="0" w:sz="4" w:val="single"/>
              <w:right w:color="bfbfbf" w:space="0" w:sz="4" w:val="single"/>
            </w:tcBorders>
            <w:shd w:fill="auto" w:val="clear"/>
          </w:tcPr>
          <w:p w:rsidR="00000000" w:rsidDel="00000000" w:rsidP="00000000" w:rsidRDefault="00000000" w:rsidRPr="00000000" w14:paraId="00000195">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17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96">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29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97">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auto" w:val="clear"/>
          </w:tcPr>
          <w:p w:rsidR="00000000" w:rsidDel="00000000" w:rsidP="00000000" w:rsidRDefault="00000000" w:rsidRPr="00000000" w14:paraId="00000198">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142%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19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08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9A">
            <w:pPr>
              <w:spacing w:after="0" w:lineRule="auto"/>
              <w:rPr>
                <w:rFonts w:ascii="Calibri" w:cs="Calibri" w:eastAsia="Calibri" w:hAnsi="Calibri"/>
              </w:rPr>
            </w:pPr>
            <w:r w:rsidDel="00000000" w:rsidR="00000000" w:rsidRPr="00000000">
              <w:rPr>
                <w:rFonts w:ascii="Calibri" w:cs="Calibri" w:eastAsia="Calibri" w:hAnsi="Calibri"/>
                <w:rtl w:val="0"/>
              </w:rPr>
              <w:t xml:space="preserve">Hyderabad</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9B">
            <w:pPr>
              <w:spacing w:after="0" w:lineRule="auto"/>
              <w:rPr>
                <w:rFonts w:ascii="Calibri" w:cs="Calibri" w:eastAsia="Calibri" w:hAnsi="Calibri"/>
              </w:rPr>
            </w:pPr>
            <w:r w:rsidDel="00000000" w:rsidR="00000000" w:rsidRPr="00000000">
              <w:rPr>
                <w:rFonts w:ascii="Calibri" w:cs="Calibri" w:eastAsia="Calibri" w:hAnsi="Calibri"/>
                <w:rtl w:val="0"/>
              </w:rPr>
              <w:t xml:space="preserve">IND</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9C">
            <w:pPr>
              <w:spacing w:after="0" w:lineRule="auto"/>
              <w:rPr>
                <w:rFonts w:ascii="Calibri" w:cs="Calibri" w:eastAsia="Calibri" w:hAnsi="Calibri"/>
              </w:rPr>
            </w:pPr>
            <w:r w:rsidDel="00000000" w:rsidR="00000000" w:rsidRPr="00000000">
              <w:rPr>
                <w:rFonts w:ascii="Calibri" w:cs="Calibri" w:eastAsia="Calibri" w:hAnsi="Calibri"/>
                <w:rtl w:val="0"/>
              </w:rPr>
              <w:t xml:space="preserve">APAC</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9D">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f5f5f5" w:val="clear"/>
          </w:tcPr>
          <w:p w:rsidR="00000000" w:rsidDel="00000000" w:rsidP="00000000" w:rsidRDefault="00000000" w:rsidRPr="00000000" w14:paraId="0000019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91 </w:t>
            </w:r>
          </w:p>
        </w:tc>
        <w:tc>
          <w:tcPr>
            <w:tcBorders>
              <w:top w:color="a6a6a6" w:space="0" w:sz="4" w:val="single"/>
              <w:left w:color="bfbfbf" w:space="0" w:sz="4" w:val="single"/>
              <w:bottom w:color="a6a6a6" w:space="0" w:sz="4" w:val="single"/>
              <w:right w:color="a6a6a6" w:space="0" w:sz="4" w:val="single"/>
            </w:tcBorders>
            <w:shd w:fill="f5f5f5" w:val="clear"/>
          </w:tcPr>
          <w:p w:rsidR="00000000" w:rsidDel="00000000" w:rsidP="00000000" w:rsidRDefault="00000000" w:rsidRPr="00000000" w14:paraId="0000019F">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37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A0">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128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A1">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f5f5f5" w:val="clear"/>
          </w:tcPr>
          <w:p w:rsidR="00000000" w:rsidDel="00000000" w:rsidP="00000000" w:rsidRDefault="00000000" w:rsidRPr="00000000" w14:paraId="000001A2">
            <w:pPr>
              <w:spacing w:after="0" w:lineRule="auto"/>
              <w:jc w:val="right"/>
              <w:rPr>
                <w:rFonts w:ascii="Calibri" w:cs="Calibri" w:eastAsia="Calibri" w:hAnsi="Calibri"/>
              </w:rPr>
            </w:pPr>
            <w:r w:rsidDel="00000000" w:rsidR="00000000" w:rsidRPr="00000000">
              <w:rPr>
                <w:rFonts w:ascii="Calibri" w:cs="Calibri" w:eastAsia="Calibri" w:hAnsi="Calibri"/>
                <w:color w:val="000080"/>
                <w:rtl w:val="0"/>
              </w:rPr>
              <w:t xml:space="preserve">41% </w:t>
            </w:r>
            <w:r w:rsidDel="00000000" w:rsidR="00000000" w:rsidRPr="00000000">
              <w:rPr>
                <w:rtl w:val="0"/>
              </w:rPr>
            </w:r>
          </w:p>
        </w:tc>
      </w:tr>
      <w:tr>
        <w:trPr>
          <w:cantSplit w:val="0"/>
          <w:trHeight w:val="282" w:hRule="atLeast"/>
          <w:tblHeader w:val="0"/>
        </w:trPr>
        <w:tc>
          <w:tcPr>
            <w:tcBorders>
              <w:top w:color="a6a6a6" w:space="0" w:sz="4" w:val="single"/>
              <w:bottom w:color="a6a6a6" w:space="0" w:sz="4" w:val="single"/>
              <w:right w:color="a6a6a6" w:space="0" w:sz="4" w:val="single"/>
            </w:tcBorders>
            <w:shd w:fill="auto" w:val="clear"/>
          </w:tcPr>
          <w:p w:rsidR="00000000" w:rsidDel="00000000" w:rsidP="00000000" w:rsidRDefault="00000000" w:rsidRPr="00000000" w14:paraId="000001A3">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09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A4">
            <w:pPr>
              <w:spacing w:after="0" w:lineRule="auto"/>
              <w:rPr>
                <w:rFonts w:ascii="Calibri" w:cs="Calibri" w:eastAsia="Calibri" w:hAnsi="Calibri"/>
              </w:rPr>
            </w:pPr>
            <w:r w:rsidDel="00000000" w:rsidR="00000000" w:rsidRPr="00000000">
              <w:rPr>
                <w:rFonts w:ascii="Calibri" w:cs="Calibri" w:eastAsia="Calibri" w:hAnsi="Calibri"/>
                <w:rtl w:val="0"/>
              </w:rPr>
              <w:t xml:space="preserve">Delhi</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A5">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A6">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A7">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auto" w:val="clear"/>
          </w:tcPr>
          <w:p w:rsidR="00000000" w:rsidDel="00000000" w:rsidP="00000000" w:rsidRDefault="00000000" w:rsidRPr="00000000" w14:paraId="000001A8">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bfbfbf" w:space="0" w:sz="4" w:val="single"/>
              <w:bottom w:color="a6a6a6" w:space="0" w:sz="4" w:val="single"/>
              <w:right w:color="bfbfbf" w:space="0" w:sz="4" w:val="single"/>
            </w:tcBorders>
            <w:shd w:fill="auto" w:val="clear"/>
          </w:tcPr>
          <w:p w:rsidR="00000000" w:rsidDel="00000000" w:rsidP="00000000" w:rsidRDefault="00000000" w:rsidRPr="00000000" w14:paraId="000001A9">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a6a6a6" w:space="0" w:sz="4" w:val="single"/>
              <w:left w:color="a6a6a6" w:space="0" w:sz="4" w:val="single"/>
              <w:bottom w:color="a6a6a6" w:space="0" w:sz="4" w:val="single"/>
              <w:right w:color="a6a6a6" w:space="0" w:sz="4" w:val="single"/>
            </w:tcBorders>
            <w:shd w:fill="auto" w:val="clear"/>
          </w:tcPr>
          <w:p w:rsidR="00000000" w:rsidDel="00000000" w:rsidP="00000000" w:rsidRDefault="00000000" w:rsidRPr="00000000" w14:paraId="000001AA">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30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AB">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auto" w:val="clear"/>
          </w:tcPr>
          <w:p w:rsidR="00000000" w:rsidDel="00000000" w:rsidP="00000000" w:rsidRDefault="00000000" w:rsidRPr="00000000" w14:paraId="000001AC">
            <w:pPr>
              <w:spacing w:after="0" w:lineRule="auto"/>
              <w:jc w:val="right"/>
              <w:rPr>
                <w:rFonts w:ascii="Calibri" w:cs="Calibri" w:eastAsia="Calibri" w:hAnsi="Calibri"/>
                <w:color w:val="131a22"/>
              </w:rPr>
            </w:pPr>
            <w:r w:rsidDel="00000000" w:rsidR="00000000" w:rsidRPr="00000000">
              <w:rPr>
                <w:rFonts w:ascii="Calibri" w:cs="Calibri" w:eastAsia="Calibri" w:hAnsi="Calibri"/>
                <w:color w:val="131a22"/>
                <w:rtl w:val="0"/>
              </w:rPr>
              <w:t xml:space="preserve">NEW</w:t>
            </w:r>
          </w:p>
        </w:tc>
      </w:tr>
      <w:tr>
        <w:trPr>
          <w:cantSplit w:val="0"/>
          <w:trHeight w:val="282" w:hRule="atLeast"/>
          <w:tblHeader w:val="0"/>
        </w:trPr>
        <w:tc>
          <w:tcPr>
            <w:tcBorders>
              <w:top w:color="a6a6a6" w:space="0" w:sz="4" w:val="single"/>
              <w:bottom w:color="a6a6a6" w:space="0" w:sz="4" w:val="single"/>
              <w:right w:color="a6a6a6" w:space="0" w:sz="4" w:val="single"/>
            </w:tcBorders>
            <w:shd w:fill="f5f5f5" w:val="clear"/>
          </w:tcPr>
          <w:p w:rsidR="00000000" w:rsidDel="00000000" w:rsidP="00000000" w:rsidRDefault="00000000" w:rsidRPr="00000000" w14:paraId="000001AD">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10 </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AE">
            <w:pPr>
              <w:spacing w:after="0" w:lineRule="auto"/>
              <w:rPr>
                <w:rFonts w:ascii="Calibri" w:cs="Calibri" w:eastAsia="Calibri" w:hAnsi="Calibri"/>
              </w:rPr>
            </w:pPr>
            <w:r w:rsidDel="00000000" w:rsidR="00000000" w:rsidRPr="00000000">
              <w:rPr>
                <w:rFonts w:ascii="Calibri" w:cs="Calibri" w:eastAsia="Calibri" w:hAnsi="Calibri"/>
                <w:rtl w:val="0"/>
              </w:rPr>
              <w:t xml:space="preserve">Amsterdam</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AF">
            <w:pPr>
              <w:spacing w:after="0" w:lineRule="auto"/>
              <w:rPr>
                <w:rFonts w:ascii="Calibri" w:cs="Calibri" w:eastAsia="Calibri" w:hAnsi="Calibri"/>
              </w:rPr>
            </w:pPr>
            <w:r w:rsidDel="00000000" w:rsidR="00000000" w:rsidRPr="00000000">
              <w:rPr>
                <w:rFonts w:ascii="Calibri" w:cs="Calibri" w:eastAsia="Calibri" w:hAnsi="Calibri"/>
                <w:rtl w:val="0"/>
              </w:rPr>
              <w:t xml:space="preserve">NL</w:t>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B0">
            <w:pPr>
              <w:spacing w:after="0" w:lineRule="auto"/>
              <w:rPr>
                <w:rFonts w:ascii="Calibri" w:cs="Calibri" w:eastAsia="Calibri" w:hAnsi="Calibri"/>
              </w:rPr>
            </w:pPr>
            <w:r w:rsidDel="00000000" w:rsidR="00000000" w:rsidRPr="00000000">
              <w:rPr>
                <w:rFonts w:ascii="Calibri" w:cs="Calibri" w:eastAsia="Calibri" w:hAnsi="Calibri"/>
                <w:rtl w:val="0"/>
              </w:rPr>
              <w:t xml:space="preserve">EU</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B1">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bfbfbf" w:space="0" w:sz="4" w:val="single"/>
            </w:tcBorders>
            <w:shd w:fill="f5f5f5" w:val="clear"/>
          </w:tcPr>
          <w:p w:rsidR="00000000" w:rsidDel="00000000" w:rsidP="00000000" w:rsidRDefault="00000000" w:rsidRPr="00000000" w14:paraId="000001B2">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34 </w:t>
            </w:r>
          </w:p>
        </w:tc>
        <w:tc>
          <w:tcPr>
            <w:tcBorders>
              <w:top w:color="a6a6a6" w:space="0" w:sz="4" w:val="single"/>
              <w:left w:color="bfbfbf" w:space="0" w:sz="4" w:val="single"/>
              <w:bottom w:color="a6a6a6" w:space="0" w:sz="4" w:val="single"/>
              <w:right w:color="bfbfbf" w:space="0" w:sz="4" w:val="single"/>
            </w:tcBorders>
            <w:shd w:fill="f5f5f5" w:val="clear"/>
          </w:tcPr>
          <w:p w:rsidR="00000000" w:rsidDel="00000000" w:rsidP="00000000" w:rsidRDefault="00000000" w:rsidRPr="00000000" w14:paraId="000001B3">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5f5f5" w:val="clear"/>
          </w:tcPr>
          <w:p w:rsidR="00000000" w:rsidDel="00000000" w:rsidP="00000000" w:rsidRDefault="00000000" w:rsidRPr="00000000" w14:paraId="000001B4">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34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B5">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4" w:val="single"/>
              <w:right w:color="000000" w:space="0" w:sz="0" w:val="nil"/>
            </w:tcBorders>
            <w:shd w:fill="f5f5f5" w:val="clear"/>
          </w:tcPr>
          <w:p w:rsidR="00000000" w:rsidDel="00000000" w:rsidP="00000000" w:rsidRDefault="00000000" w:rsidRPr="00000000" w14:paraId="000001B6">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r>
        <w:trPr>
          <w:cantSplit w:val="0"/>
          <w:trHeight w:val="282" w:hRule="atLeast"/>
          <w:tblHeader w:val="0"/>
        </w:trPr>
        <w:tc>
          <w:tcPr>
            <w:tcBorders>
              <w:top w:color="a6a6a6" w:space="0" w:sz="4" w:val="single"/>
              <w:bottom w:color="a6a6a6" w:space="0" w:sz="6" w:val="single"/>
              <w:right w:color="a6a6a6" w:space="0" w:sz="4" w:val="single"/>
            </w:tcBorders>
            <w:shd w:fill="auto" w:val="clear"/>
          </w:tcPr>
          <w:p w:rsidR="00000000" w:rsidDel="00000000" w:rsidP="00000000" w:rsidRDefault="00000000" w:rsidRPr="00000000" w14:paraId="000001B7">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11 </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B8">
            <w:pPr>
              <w:spacing w:after="0" w:lineRule="auto"/>
              <w:rPr>
                <w:rFonts w:ascii="Calibri" w:cs="Calibri" w:eastAsia="Calibri" w:hAnsi="Calibri"/>
              </w:rPr>
            </w:pPr>
            <w:r w:rsidDel="00000000" w:rsidR="00000000" w:rsidRPr="00000000">
              <w:rPr>
                <w:rFonts w:ascii="Calibri" w:cs="Calibri" w:eastAsia="Calibri" w:hAnsi="Calibri"/>
                <w:rtl w:val="0"/>
              </w:rPr>
              <w:t xml:space="preserve">Luxembourg</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B9">
            <w:pPr>
              <w:spacing w:after="0" w:lineRule="auto"/>
              <w:rPr>
                <w:rFonts w:ascii="Calibri" w:cs="Calibri" w:eastAsia="Calibri" w:hAnsi="Calibri"/>
              </w:rPr>
            </w:pPr>
            <w:r w:rsidDel="00000000" w:rsidR="00000000" w:rsidRPr="00000000">
              <w:rPr>
                <w:rFonts w:ascii="Calibri" w:cs="Calibri" w:eastAsia="Calibri" w:hAnsi="Calibri"/>
                <w:rtl w:val="0"/>
              </w:rPr>
              <w:t xml:space="preserve">LUX</w:t>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BA">
            <w:pPr>
              <w:spacing w:after="0" w:lineRule="auto"/>
              <w:rPr>
                <w:rFonts w:ascii="Calibri" w:cs="Calibri" w:eastAsia="Calibri" w:hAnsi="Calibri"/>
              </w:rPr>
            </w:pPr>
            <w:r w:rsidDel="00000000" w:rsidR="00000000" w:rsidRPr="00000000">
              <w:rPr>
                <w:rFonts w:ascii="Calibri" w:cs="Calibri" w:eastAsia="Calibri" w:hAnsi="Calibri"/>
                <w:color w:val="a6a6a6"/>
                <w:rtl w:val="0"/>
              </w:rPr>
              <w:t xml:space="preserve">↓</w:t>
            </w:r>
            <w:r w:rsidDel="00000000" w:rsidR="00000000" w:rsidRPr="00000000">
              <w:rPr>
                <w:rtl w:val="0"/>
              </w:rPr>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BB">
            <w:pPr>
              <w:spacing w:after="0" w:lineRule="auto"/>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6" w:val="single"/>
              <w:right w:color="bfbfbf" w:space="0" w:sz="4" w:val="single"/>
            </w:tcBorders>
            <w:shd w:fill="auto" w:val="clear"/>
          </w:tcPr>
          <w:p w:rsidR="00000000" w:rsidDel="00000000" w:rsidP="00000000" w:rsidRDefault="00000000" w:rsidRPr="00000000" w14:paraId="000001BC">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a6a6a6" w:space="0" w:sz="4" w:val="single"/>
              <w:left w:color="bfbfbf" w:space="0" w:sz="4" w:val="single"/>
              <w:bottom w:color="a6a6a6" w:space="0" w:sz="6" w:val="single"/>
              <w:right w:color="a6a6a6" w:space="0" w:sz="4" w:val="single"/>
            </w:tcBorders>
            <w:shd w:fill="auto" w:val="clear"/>
          </w:tcPr>
          <w:p w:rsidR="00000000" w:rsidDel="00000000" w:rsidP="00000000" w:rsidRDefault="00000000" w:rsidRPr="00000000" w14:paraId="000001BD">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c>
          <w:tcPr>
            <w:tcBorders>
              <w:top w:color="a6a6a6" w:space="0" w:sz="4" w:val="single"/>
              <w:left w:color="a6a6a6" w:space="0" w:sz="4" w:val="single"/>
              <w:bottom w:color="a6a6a6" w:space="0" w:sz="6" w:val="single"/>
              <w:right w:color="a6a6a6" w:space="0" w:sz="4" w:val="single"/>
            </w:tcBorders>
            <w:shd w:fill="auto" w:val="clear"/>
          </w:tcPr>
          <w:p w:rsidR="00000000" w:rsidDel="00000000" w:rsidP="00000000" w:rsidRDefault="00000000" w:rsidRPr="00000000" w14:paraId="000001BE">
            <w:pPr>
              <w:spacing w:after="0" w:lineRule="auto"/>
              <w:jc w:val="right"/>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000000" w:space="0" w:sz="0" w:val="nil"/>
              <w:left w:color="a6a6a6" w:space="0" w:sz="4" w:val="single"/>
              <w:bottom w:color="000000" w:space="0" w:sz="0" w:val="nil"/>
              <w:right w:color="000000" w:space="0" w:sz="0" w:val="nil"/>
            </w:tcBorders>
            <w:shd w:fill="auto" w:val="clear"/>
          </w:tcPr>
          <w:p w:rsidR="00000000" w:rsidDel="00000000" w:rsidP="00000000" w:rsidRDefault="00000000" w:rsidRPr="00000000" w14:paraId="000001BF">
            <w:pPr>
              <w:spacing w:after="0" w:lineRule="auto"/>
              <w:jc w:val="right"/>
              <w:rPr>
                <w:rFonts w:ascii="Calibri" w:cs="Calibri" w:eastAsia="Calibri" w:hAnsi="Calibri"/>
              </w:rPr>
            </w:pPr>
            <w:r w:rsidDel="00000000" w:rsidR="00000000" w:rsidRPr="00000000">
              <w:rPr>
                <w:rtl w:val="0"/>
              </w:rPr>
            </w:r>
          </w:p>
        </w:tc>
        <w:tc>
          <w:tcPr>
            <w:tcBorders>
              <w:top w:color="a6a6a6" w:space="0" w:sz="4" w:val="single"/>
              <w:left w:color="a6a6a6" w:space="0" w:sz="4" w:val="single"/>
              <w:bottom w:color="a6a6a6" w:space="0" w:sz="6" w:val="single"/>
              <w:right w:color="000000" w:space="0" w:sz="0" w:val="nil"/>
            </w:tcBorders>
            <w:shd w:fill="auto" w:val="clear"/>
          </w:tcPr>
          <w:p w:rsidR="00000000" w:rsidDel="00000000" w:rsidP="00000000" w:rsidRDefault="00000000" w:rsidRPr="00000000" w14:paraId="000001C0">
            <w:pPr>
              <w:spacing w:after="0" w:lineRule="auto"/>
              <w:jc w:val="right"/>
              <w:rPr>
                <w:rFonts w:ascii="Calibri" w:cs="Calibri" w:eastAsia="Calibri" w:hAnsi="Calibri"/>
              </w:rPr>
            </w:pPr>
            <w:r w:rsidDel="00000000" w:rsidR="00000000" w:rsidRPr="00000000">
              <w:rPr>
                <w:rFonts w:ascii="Calibri" w:cs="Calibri" w:eastAsia="Calibri" w:hAnsi="Calibri"/>
                <w:color w:val="c0c0c0"/>
                <w:rtl w:val="0"/>
              </w:rPr>
              <w:t xml:space="preserve">– </w:t>
            </w:r>
            <w:r w:rsidDel="00000000" w:rsidR="00000000" w:rsidRPr="00000000">
              <w:rPr>
                <w:rtl w:val="0"/>
              </w:rPr>
            </w:r>
          </w:p>
        </w:tc>
      </w:tr>
    </w:tbl>
    <w:p w:rsidR="00000000" w:rsidDel="00000000" w:rsidP="00000000" w:rsidRDefault="00000000" w:rsidRPr="00000000" w14:paraId="000001C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 Tagging to FinTech Primary Customers and Stakeholders</w:t>
      </w:r>
    </w:p>
    <w:p w:rsidR="00000000" w:rsidDel="00000000" w:rsidP="00000000" w:rsidRDefault="00000000" w:rsidRPr="00000000" w14:paraId="000001C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20598" cy="392928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0598" cy="3929286"/>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5">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D: FinTech Initiated Projects that Require Customer Support</w:t>
      </w:r>
    </w:p>
    <w:tbl>
      <w:tblPr>
        <w:tblStyle w:val="Table3"/>
        <w:tblW w:w="10248.000000000002" w:type="dxa"/>
        <w:jc w:val="left"/>
        <w:tblLayout w:type="fixed"/>
        <w:tblLook w:val="0400"/>
      </w:tblPr>
      <w:tblGrid>
        <w:gridCol w:w="485"/>
        <w:gridCol w:w="2563"/>
        <w:gridCol w:w="3024"/>
        <w:gridCol w:w="2016"/>
        <w:gridCol w:w="2160"/>
        <w:tblGridChange w:id="0">
          <w:tblGrid>
            <w:gridCol w:w="485"/>
            <w:gridCol w:w="2563"/>
            <w:gridCol w:w="3024"/>
            <w:gridCol w:w="2016"/>
            <w:gridCol w:w="2160"/>
          </w:tblGrid>
        </w:tblGridChange>
      </w:tblGrid>
      <w:tr>
        <w:trPr>
          <w:cantSplit w:val="0"/>
          <w:trHeight w:val="545" w:hRule="atLeast"/>
          <w:tblHeader w:val="0"/>
        </w:trPr>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1C6">
            <w:pPr>
              <w:spacing w:line="252.00000000000003" w:lineRule="auto"/>
              <w:jc w:val="right"/>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1C7">
            <w:pPr>
              <w:spacing w:line="252.00000000000003" w:lineRule="auto"/>
              <w:rPr/>
            </w:pPr>
            <w:r w:rsidDel="00000000" w:rsidR="00000000" w:rsidRPr="00000000">
              <w:rPr>
                <w:b w:val="1"/>
                <w:bCs w:val="1"/>
                <w:color w:val="000000"/>
                <w:rtl w:val="0"/>
              </w:rPr>
              <w:t xml:space="preserve">Project</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1C8">
            <w:pPr>
              <w:spacing w:line="252.00000000000003" w:lineRule="auto"/>
              <w:rPr/>
            </w:pPr>
            <w:r w:rsidDel="00000000" w:rsidR="00000000" w:rsidRPr="00000000">
              <w:rPr>
                <w:b w:val="1"/>
                <w:bCs w:val="1"/>
                <w:color w:val="000000"/>
                <w:rtl w:val="0"/>
              </w:rPr>
              <w:t xml:space="preserve">Support Timeframe</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vAlign w:val="bottom"/>
          </w:tcPr>
          <w:p w:rsidR="00000000" w:rsidDel="00000000" w:rsidP="00000000" w:rsidRDefault="00000000" w:rsidRPr="00000000" w14:paraId="000001C9">
            <w:pPr>
              <w:spacing w:line="252.00000000000003" w:lineRule="auto"/>
              <w:rPr/>
            </w:pPr>
            <w:r w:rsidDel="00000000" w:rsidR="00000000" w:rsidRPr="00000000">
              <w:rPr>
                <w:b w:val="1"/>
                <w:bCs w:val="1"/>
                <w:color w:val="000000"/>
                <w:rtl w:val="0"/>
              </w:rPr>
              <w:t xml:space="preserve">FinTech Owner</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vAlign w:val="bottom"/>
          </w:tcPr>
          <w:p w:rsidR="00000000" w:rsidDel="00000000" w:rsidP="00000000" w:rsidRDefault="00000000" w:rsidRPr="00000000" w14:paraId="000001CA">
            <w:pPr>
              <w:spacing w:line="252.00000000000003" w:lineRule="auto"/>
              <w:rPr>
                <w:b w:val="1"/>
                <w:bCs w:val="1"/>
                <w:color w:val="000000"/>
              </w:rPr>
            </w:pPr>
            <w:r w:rsidDel="00000000" w:rsidR="00000000" w:rsidRPr="00000000">
              <w:rPr>
                <w:b w:val="1"/>
                <w:bCs w:val="1"/>
                <w:color w:val="000000"/>
                <w:rtl w:val="0"/>
              </w:rPr>
              <w:t xml:space="preserve">Impacted Customers</w:t>
            </w:r>
          </w:p>
        </w:tc>
      </w:tr>
      <w:tr>
        <w:trPr>
          <w:cantSplit w:val="0"/>
          <w:trHeight w:val="48" w:hRule="atLeast"/>
          <w:tblHeader w:val="0"/>
        </w:trPr>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1CB">
            <w:pPr>
              <w:rPr>
                <w:sz w:val="2"/>
                <w:szCs w:val="2"/>
              </w:rPr>
            </w:pPr>
            <w:r w:rsidDel="00000000" w:rsidR="00000000" w:rsidRPr="00000000">
              <w:rPr>
                <w:rtl w:val="0"/>
              </w:rPr>
            </w:r>
          </w:p>
        </w:tc>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1CC">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ffffff" w:space="0" w:sz="12" w:val="single"/>
            </w:tcBorders>
            <w:tcMar>
              <w:top w:w="15.0" w:type="dxa"/>
              <w:left w:w="15.0" w:type="dxa"/>
              <w:bottom w:w="0.0" w:type="dxa"/>
              <w:right w:w="15.0" w:type="dxa"/>
            </w:tcMar>
          </w:tcPr>
          <w:p w:rsidR="00000000" w:rsidDel="00000000" w:rsidP="00000000" w:rsidRDefault="00000000" w:rsidRPr="00000000" w14:paraId="000001CD">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000000" w:space="0" w:sz="0" w:val="nil"/>
            </w:tcBorders>
            <w:tcMar>
              <w:top w:w="15.0" w:type="dxa"/>
              <w:left w:w="15.0" w:type="dxa"/>
              <w:bottom w:w="0.0" w:type="dxa"/>
              <w:right w:w="15.0" w:type="dxa"/>
            </w:tcMar>
          </w:tcPr>
          <w:p w:rsidR="00000000" w:rsidDel="00000000" w:rsidP="00000000" w:rsidRDefault="00000000" w:rsidRPr="00000000" w14:paraId="000001CE">
            <w:pPr>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ffffff" w:space="0" w:sz="12" w:val="single"/>
              <w:right w:color="000000" w:space="0" w:sz="0" w:val="nil"/>
            </w:tcBorders>
          </w:tcPr>
          <w:p w:rsidR="00000000" w:rsidDel="00000000" w:rsidP="00000000" w:rsidRDefault="00000000" w:rsidRPr="00000000" w14:paraId="000001CF">
            <w:pPr>
              <w:spacing w:line="252.00000000000003" w:lineRule="auto"/>
              <w:rPr>
                <w:b w:val="1"/>
                <w:bCs w:val="1"/>
                <w:color w:val="000000"/>
                <w:sz w:val="2"/>
                <w:szCs w:val="2"/>
              </w:rPr>
            </w:pPr>
            <w:r w:rsidDel="00000000" w:rsidR="00000000" w:rsidRPr="00000000">
              <w:rPr>
                <w:rtl w:val="0"/>
              </w:rPr>
            </w:r>
          </w:p>
        </w:tc>
      </w:tr>
      <w:tr>
        <w:trPr>
          <w:cantSplit w:val="0"/>
          <w:trHeight w:val="78" w:hRule="atLeast"/>
          <w:tblHeader w:val="0"/>
        </w:trPr>
        <w:tc>
          <w:tcPr>
            <w:tcBorders>
              <w:top w:color="ffffff" w:space="0" w:sz="12" w:val="single"/>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D0">
            <w:pPr>
              <w:spacing w:after="60" w:line="252.00000000000003" w:lineRule="auto"/>
              <w:jc w:val="right"/>
              <w:rPr>
                <w:rFonts w:ascii="Calibri" w:cs="Calibri" w:eastAsia="Calibri" w:hAnsi="Calibri"/>
              </w:rPr>
            </w:pPr>
            <w:r w:rsidDel="00000000" w:rsidR="00000000" w:rsidRPr="00000000">
              <w:rPr>
                <w:rtl w:val="0"/>
              </w:rPr>
              <w:t xml:space="preserve">01 </w:t>
            </w:r>
            <w:r w:rsidDel="00000000" w:rsidR="00000000" w:rsidRPr="00000000">
              <w:rPr>
                <w:rtl w:val="0"/>
              </w:rPr>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D1">
            <w:pPr>
              <w:spacing w:after="60" w:line="252.00000000000003" w:lineRule="auto"/>
              <w:rPr/>
            </w:pPr>
            <w:r w:rsidDel="00000000" w:rsidR="00000000" w:rsidRPr="00000000">
              <w:rPr>
                <w:rtl w:val="0"/>
              </w:rPr>
              <w:t xml:space="preserve">Hyperion App Upgrade </w:t>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D2">
            <w:pPr>
              <w:spacing w:after="60" w:line="252.00000000000003" w:lineRule="auto"/>
              <w:rPr/>
            </w:pPr>
            <w:r w:rsidDel="00000000" w:rsidR="00000000" w:rsidRPr="00000000">
              <w:rPr>
                <w:color w:val="131a22"/>
                <w:rtl w:val="0"/>
              </w:rPr>
              <w:t xml:space="preserve">Q2 2021</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tcMar>
              <w:top w:w="15.0" w:type="dxa"/>
              <w:left w:w="15.0" w:type="dxa"/>
              <w:bottom w:w="0.0" w:type="dxa"/>
              <w:right w:w="15.0" w:type="dxa"/>
            </w:tcMar>
          </w:tcPr>
          <w:p w:rsidR="00000000" w:rsidDel="00000000" w:rsidP="00000000" w:rsidRDefault="00000000" w:rsidRPr="00000000" w14:paraId="000001D3">
            <w:pPr>
              <w:spacing w:after="60" w:line="252.00000000000003" w:lineRule="auto"/>
              <w:rPr/>
            </w:pPr>
            <w:r w:rsidDel="00000000" w:rsidR="00000000" w:rsidRPr="00000000">
              <w:rPr>
                <w:color w:val="131a22"/>
                <w:rtl w:val="0"/>
              </w:rPr>
              <w:t xml:space="preserve">Abhishek Mundada</w:t>
            </w:r>
            <w:r w:rsidDel="00000000" w:rsidR="00000000" w:rsidRPr="00000000">
              <w:rPr>
                <w:rtl w:val="0"/>
              </w:rPr>
            </w:r>
          </w:p>
        </w:tc>
        <w:tc>
          <w:tcPr>
            <w:tcBorders>
              <w:top w:color="ffffff" w:space="0" w:sz="12" w:val="single"/>
              <w:left w:color="a6a6a6" w:space="0" w:sz="4" w:val="single"/>
              <w:bottom w:color="a6a6a6" w:space="0" w:sz="8" w:val="single"/>
              <w:right w:color="a6a6a6" w:space="0" w:sz="4" w:val="single"/>
            </w:tcBorders>
          </w:tcPr>
          <w:p w:rsidR="00000000" w:rsidDel="00000000" w:rsidP="00000000" w:rsidRDefault="00000000" w:rsidRPr="00000000" w14:paraId="000001D4">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D5">
            <w:pPr>
              <w:spacing w:after="60" w:line="252.00000000000003" w:lineRule="auto"/>
              <w:rPr>
                <w:color w:val="131a22"/>
              </w:rPr>
            </w:pPr>
            <w:r w:rsidDel="00000000" w:rsidR="00000000" w:rsidRPr="00000000">
              <w:rPr>
                <w:color w:val="131a22"/>
                <w:rtl w:val="0"/>
              </w:rPr>
              <w:t xml:space="preserve">Corp FP&amp;A</w:t>
            </w:r>
          </w:p>
        </w:tc>
      </w:tr>
      <w:tr>
        <w:trPr>
          <w:cantSplit w:val="0"/>
          <w:trHeight w:val="74" w:hRule="atLeast"/>
          <w:tblHeader w:val="0"/>
        </w:trPr>
        <w:tc>
          <w:tcPr>
            <w:tcBorders>
              <w:top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D6">
            <w:pPr>
              <w:spacing w:after="60" w:line="252.00000000000003" w:lineRule="auto"/>
              <w:jc w:val="right"/>
              <w:rPr/>
            </w:pPr>
            <w:r w:rsidDel="00000000" w:rsidR="00000000" w:rsidRPr="00000000">
              <w:rPr>
                <w:rtl w:val="0"/>
              </w:rPr>
              <w:t xml:space="preserve">02</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D7">
            <w:pPr>
              <w:spacing w:after="60" w:line="252.00000000000003" w:lineRule="auto"/>
              <w:rPr/>
            </w:pPr>
            <w:r w:rsidDel="00000000" w:rsidR="00000000" w:rsidRPr="00000000">
              <w:rPr>
                <w:rtl w:val="0"/>
              </w:rPr>
              <w:t xml:space="preserve">OFA Database Upgrade</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D8">
            <w:pPr>
              <w:spacing w:after="0" w:line="252.00000000000003" w:lineRule="auto"/>
              <w:rPr/>
            </w:pPr>
            <w:r w:rsidDel="00000000" w:rsidR="00000000" w:rsidRPr="00000000">
              <w:rPr>
                <w:color w:val="131a22"/>
                <w:rtl w:val="0"/>
              </w:rPr>
              <w:t xml:space="preserve">Q4 2020 (New Target)</w:t>
            </w:r>
            <w:r w:rsidDel="00000000" w:rsidR="00000000" w:rsidRPr="00000000">
              <w:rPr>
                <w:rtl w:val="0"/>
              </w:rPr>
            </w:r>
          </w:p>
          <w:p w:rsidR="00000000" w:rsidDel="00000000" w:rsidP="00000000" w:rsidRDefault="00000000" w:rsidRPr="00000000" w14:paraId="000001D9">
            <w:pPr>
              <w:spacing w:after="60" w:line="252.00000000000003" w:lineRule="auto"/>
              <w:rPr/>
            </w:pPr>
            <w:r w:rsidDel="00000000" w:rsidR="00000000" w:rsidRPr="00000000">
              <w:rPr>
                <w:color w:val="131a22"/>
                <w:rtl w:val="0"/>
              </w:rPr>
              <w:t xml:space="preserve">Q2 2021 (Fallback)</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DA">
            <w:pPr>
              <w:spacing w:after="60" w:line="252.00000000000003" w:lineRule="auto"/>
              <w:rPr/>
            </w:pPr>
            <w:r w:rsidDel="00000000" w:rsidR="00000000" w:rsidRPr="00000000">
              <w:rPr>
                <w:color w:val="131a22"/>
                <w:rtl w:val="0"/>
              </w:rPr>
              <w:t xml:space="preserve">Umesh Date</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shd w:fill="f2f2f2" w:val="clear"/>
          </w:tcPr>
          <w:p w:rsidR="00000000" w:rsidDel="00000000" w:rsidP="00000000" w:rsidRDefault="00000000" w:rsidRPr="00000000" w14:paraId="000001DB">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DC">
            <w:pPr>
              <w:spacing w:after="0" w:line="252.00000000000003" w:lineRule="auto"/>
              <w:rPr>
                <w:color w:val="131a22"/>
              </w:rPr>
            </w:pPr>
            <w:r w:rsidDel="00000000" w:rsidR="00000000" w:rsidRPr="00000000">
              <w:rPr>
                <w:color w:val="131a22"/>
                <w:rtl w:val="0"/>
              </w:rPr>
              <w:t xml:space="preserve">FinOps</w:t>
            </w:r>
          </w:p>
          <w:p w:rsidR="00000000" w:rsidDel="00000000" w:rsidP="00000000" w:rsidRDefault="00000000" w:rsidRPr="00000000" w14:paraId="000001DD">
            <w:pPr>
              <w:spacing w:after="60" w:line="252.00000000000003" w:lineRule="auto"/>
              <w:rPr>
                <w:color w:val="131a22"/>
              </w:rPr>
            </w:pPr>
            <w:r w:rsidDel="00000000" w:rsidR="00000000" w:rsidRPr="00000000">
              <w:rPr>
                <w:color w:val="131a22"/>
                <w:rtl w:val="0"/>
              </w:rPr>
              <w:t xml:space="preserve">Tax</w:t>
            </w:r>
          </w:p>
        </w:tc>
      </w:tr>
      <w:tr>
        <w:trPr>
          <w:cantSplit w:val="0"/>
          <w:trHeight w:val="74" w:hRule="atLeast"/>
          <w:tblHeader w:val="0"/>
        </w:trPr>
        <w:tc>
          <w:tcPr>
            <w:tcBorders>
              <w:top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DE">
            <w:pPr>
              <w:spacing w:after="60" w:line="252.00000000000003" w:lineRule="auto"/>
              <w:jc w:val="right"/>
              <w:rPr/>
            </w:pPr>
            <w:r w:rsidDel="00000000" w:rsidR="00000000" w:rsidRPr="00000000">
              <w:rPr>
                <w:rtl w:val="0"/>
              </w:rPr>
              <w:t xml:space="preserve">03 </w:t>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DF">
            <w:pPr>
              <w:spacing w:after="60" w:line="252.00000000000003" w:lineRule="auto"/>
              <w:rPr/>
            </w:pPr>
            <w:r w:rsidDel="00000000" w:rsidR="00000000" w:rsidRPr="00000000">
              <w:rPr>
                <w:rtl w:val="0"/>
              </w:rPr>
              <w:t xml:space="preserve">OFA Application Upgrade </w:t>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E0">
            <w:pPr>
              <w:spacing w:after="0" w:line="252.00000000000003" w:lineRule="auto"/>
              <w:rPr/>
            </w:pPr>
            <w:r w:rsidDel="00000000" w:rsidR="00000000" w:rsidRPr="00000000">
              <w:rPr>
                <w:color w:val="131a22"/>
                <w:rtl w:val="0"/>
              </w:rPr>
              <w:t xml:space="preserve">Q2 2021 (Current Target)</w:t>
            </w:r>
            <w:r w:rsidDel="00000000" w:rsidR="00000000" w:rsidRPr="00000000">
              <w:rPr>
                <w:rtl w:val="0"/>
              </w:rPr>
            </w:r>
          </w:p>
          <w:p w:rsidR="00000000" w:rsidDel="00000000" w:rsidP="00000000" w:rsidRDefault="00000000" w:rsidRPr="00000000" w14:paraId="000001E1">
            <w:pPr>
              <w:spacing w:after="60" w:line="252.00000000000003" w:lineRule="auto"/>
              <w:rPr/>
            </w:pPr>
            <w:r w:rsidDel="00000000" w:rsidR="00000000" w:rsidRPr="00000000">
              <w:rPr>
                <w:color w:val="131a22"/>
                <w:rtl w:val="0"/>
              </w:rPr>
              <w:t xml:space="preserve">Q3 2021 (Fallback)</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tcMar>
              <w:top w:w="15.0" w:type="dxa"/>
              <w:left w:w="15.0" w:type="dxa"/>
              <w:bottom w:w="0.0" w:type="dxa"/>
              <w:right w:w="15.0" w:type="dxa"/>
            </w:tcMar>
          </w:tcPr>
          <w:p w:rsidR="00000000" w:rsidDel="00000000" w:rsidP="00000000" w:rsidRDefault="00000000" w:rsidRPr="00000000" w14:paraId="000001E2">
            <w:pPr>
              <w:spacing w:after="60" w:line="252.00000000000003" w:lineRule="auto"/>
              <w:rPr/>
            </w:pPr>
            <w:r w:rsidDel="00000000" w:rsidR="00000000" w:rsidRPr="00000000">
              <w:rPr>
                <w:color w:val="131a22"/>
                <w:rtl w:val="0"/>
              </w:rPr>
              <w:t xml:space="preserve">Umesh Date</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tcPr>
          <w:p w:rsidR="00000000" w:rsidDel="00000000" w:rsidP="00000000" w:rsidRDefault="00000000" w:rsidRPr="00000000" w14:paraId="000001E3">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E4">
            <w:pPr>
              <w:spacing w:after="0" w:line="252.00000000000003" w:lineRule="auto"/>
              <w:rPr>
                <w:color w:val="131a22"/>
              </w:rPr>
            </w:pPr>
            <w:r w:rsidDel="00000000" w:rsidR="00000000" w:rsidRPr="00000000">
              <w:rPr>
                <w:color w:val="131a22"/>
                <w:rtl w:val="0"/>
              </w:rPr>
              <w:t xml:space="preserve">FinOps</w:t>
            </w:r>
          </w:p>
          <w:p w:rsidR="00000000" w:rsidDel="00000000" w:rsidP="00000000" w:rsidRDefault="00000000" w:rsidRPr="00000000" w14:paraId="000001E5">
            <w:pPr>
              <w:spacing w:after="60" w:line="252.00000000000003" w:lineRule="auto"/>
              <w:rPr>
                <w:color w:val="131a22"/>
              </w:rPr>
            </w:pPr>
            <w:r w:rsidDel="00000000" w:rsidR="00000000" w:rsidRPr="00000000">
              <w:rPr>
                <w:color w:val="131a22"/>
                <w:rtl w:val="0"/>
              </w:rPr>
              <w:t xml:space="preserve">Tax</w:t>
            </w:r>
          </w:p>
        </w:tc>
      </w:tr>
      <w:tr>
        <w:trPr>
          <w:cantSplit w:val="0"/>
          <w:trHeight w:val="261" w:hRule="atLeast"/>
          <w:tblHeader w:val="0"/>
        </w:trPr>
        <w:tc>
          <w:tcPr>
            <w:tcBorders>
              <w:top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E6">
            <w:pPr>
              <w:spacing w:after="60" w:line="252.00000000000003" w:lineRule="auto"/>
              <w:jc w:val="right"/>
              <w:rPr/>
            </w:pPr>
            <w:r w:rsidDel="00000000" w:rsidR="00000000" w:rsidRPr="00000000">
              <w:rPr>
                <w:rtl w:val="0"/>
              </w:rPr>
              <w:t xml:space="preserve">04 </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E7">
            <w:pPr>
              <w:spacing w:after="60" w:line="252.00000000000003" w:lineRule="auto"/>
              <w:rPr/>
            </w:pPr>
            <w:r w:rsidDel="00000000" w:rsidR="00000000" w:rsidRPr="00000000">
              <w:rPr>
                <w:rtl w:val="0"/>
              </w:rPr>
              <w:t xml:space="preserve">OBIEE Deprecation </w:t>
            </w:r>
          </w:p>
        </w:tc>
        <w:tc>
          <w:tcPr>
            <w:tcBorders>
              <w:top w:color="000000" w:space="0" w:sz="0" w:val="nil"/>
              <w:left w:color="000000" w:space="0" w:sz="0" w:val="nil"/>
              <w:bottom w:color="a6a6a6" w:space="0" w:sz="8"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E8">
            <w:pPr>
              <w:spacing w:after="60" w:line="252.00000000000003" w:lineRule="auto"/>
              <w:rPr/>
            </w:pPr>
            <w:r w:rsidDel="00000000" w:rsidR="00000000" w:rsidRPr="00000000">
              <w:rPr>
                <w:color w:val="131a22"/>
                <w:rtl w:val="0"/>
              </w:rPr>
              <w:t xml:space="preserve">Q1-Q4 2021</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E9">
            <w:pPr>
              <w:spacing w:after="60" w:line="252.00000000000003" w:lineRule="auto"/>
              <w:rPr/>
            </w:pPr>
            <w:r w:rsidDel="00000000" w:rsidR="00000000" w:rsidRPr="00000000">
              <w:rPr>
                <w:color w:val="131a22"/>
                <w:rtl w:val="0"/>
              </w:rPr>
              <w:t xml:space="preserve">Keith Weiss</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shd w:fill="f2f2f2" w:val="clear"/>
          </w:tcPr>
          <w:p w:rsidR="00000000" w:rsidDel="00000000" w:rsidP="00000000" w:rsidRDefault="00000000" w:rsidRPr="00000000" w14:paraId="000001EA">
            <w:pPr>
              <w:spacing w:after="60" w:line="252.00000000000003" w:lineRule="auto"/>
              <w:rPr>
                <w:color w:val="131a22"/>
              </w:rPr>
            </w:pPr>
            <w:r w:rsidDel="00000000" w:rsidR="00000000" w:rsidRPr="00000000">
              <w:rPr>
                <w:color w:val="131a22"/>
                <w:rtl w:val="0"/>
              </w:rPr>
              <w:t xml:space="preserve">All FGBS</w:t>
            </w:r>
          </w:p>
        </w:tc>
      </w:tr>
      <w:tr>
        <w:trPr>
          <w:cantSplit w:val="0"/>
          <w:trHeight w:val="261" w:hRule="atLeast"/>
          <w:tblHeader w:val="0"/>
        </w:trPr>
        <w:tc>
          <w:tcPr>
            <w:tcBorders>
              <w:top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EB">
            <w:pPr>
              <w:spacing w:after="60" w:line="252.00000000000003" w:lineRule="auto"/>
              <w:jc w:val="right"/>
              <w:rPr/>
            </w:pPr>
            <w:r w:rsidDel="00000000" w:rsidR="00000000" w:rsidRPr="00000000">
              <w:rPr>
                <w:rtl w:val="0"/>
              </w:rPr>
              <w:t xml:space="preserve">05 </w:t>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EC">
            <w:pPr>
              <w:spacing w:after="60" w:line="252.00000000000003" w:lineRule="auto"/>
              <w:rPr/>
            </w:pPr>
            <w:r w:rsidDel="00000000" w:rsidR="00000000" w:rsidRPr="00000000">
              <w:rPr>
                <w:rtl w:val="0"/>
              </w:rPr>
              <w:t xml:space="preserve">Fixed Assets </w:t>
            </w:r>
          </w:p>
        </w:tc>
        <w:tc>
          <w:tcPr>
            <w:tcBorders>
              <w:top w:color="000000" w:space="0" w:sz="0" w:val="nil"/>
              <w:left w:color="000000" w:space="0" w:sz="0" w:val="nil"/>
              <w:bottom w:color="a6a6a6" w:space="0" w:sz="8" w:val="single"/>
              <w:right w:color="a6a6a6" w:space="0" w:sz="8" w:val="single"/>
            </w:tcBorders>
            <w:tcMar>
              <w:top w:w="15.0" w:type="dxa"/>
              <w:left w:w="15.0" w:type="dxa"/>
              <w:bottom w:w="0.0" w:type="dxa"/>
              <w:right w:w="15.0" w:type="dxa"/>
            </w:tcMar>
          </w:tcPr>
          <w:p w:rsidR="00000000" w:rsidDel="00000000" w:rsidP="00000000" w:rsidRDefault="00000000" w:rsidRPr="00000000" w14:paraId="000001ED">
            <w:pPr>
              <w:spacing w:after="60" w:line="252.00000000000003" w:lineRule="auto"/>
              <w:rPr/>
            </w:pPr>
            <w:r w:rsidDel="00000000" w:rsidR="00000000" w:rsidRPr="00000000">
              <w:rPr>
                <w:color w:val="131a22"/>
                <w:rtl w:val="0"/>
              </w:rPr>
              <w:t xml:space="preserve">Q3 2021 – Q4 2023 </w:t>
            </w:r>
            <w:r w:rsidDel="00000000" w:rsidR="00000000" w:rsidRPr="00000000">
              <w:rPr>
                <w:rtl w:val="0"/>
              </w:rPr>
            </w:r>
          </w:p>
        </w:tc>
        <w:tc>
          <w:tcPr>
            <w:tcBorders>
              <w:top w:color="000000" w:space="0" w:sz="0" w:val="nil"/>
              <w:left w:color="000000" w:space="0" w:sz="0" w:val="nil"/>
              <w:bottom w:color="a6a6a6" w:space="0" w:sz="8" w:val="single"/>
              <w:right w:color="a6a6a6" w:space="0" w:sz="4" w:val="single"/>
            </w:tcBorders>
            <w:tcMar>
              <w:top w:w="15.0" w:type="dxa"/>
              <w:left w:w="15.0" w:type="dxa"/>
              <w:bottom w:w="0.0" w:type="dxa"/>
              <w:right w:w="15.0" w:type="dxa"/>
            </w:tcMar>
          </w:tcPr>
          <w:p w:rsidR="00000000" w:rsidDel="00000000" w:rsidP="00000000" w:rsidRDefault="00000000" w:rsidRPr="00000000" w14:paraId="000001EE">
            <w:pPr>
              <w:spacing w:after="60" w:line="252.00000000000003" w:lineRule="auto"/>
              <w:rPr/>
            </w:pPr>
            <w:r w:rsidDel="00000000" w:rsidR="00000000" w:rsidRPr="00000000">
              <w:rPr>
                <w:color w:val="131a22"/>
                <w:rtl w:val="0"/>
              </w:rPr>
              <w:t xml:space="preserve">Johnna Hobgood</w:t>
            </w:r>
            <w:r w:rsidDel="00000000" w:rsidR="00000000" w:rsidRPr="00000000">
              <w:rPr>
                <w:rtl w:val="0"/>
              </w:rPr>
            </w:r>
          </w:p>
        </w:tc>
        <w:tc>
          <w:tcPr>
            <w:tcBorders>
              <w:top w:color="a6a6a6" w:space="0" w:sz="8" w:val="single"/>
              <w:left w:color="a6a6a6" w:space="0" w:sz="4" w:val="single"/>
              <w:bottom w:color="a6a6a6" w:space="0" w:sz="8" w:val="single"/>
              <w:right w:color="a6a6a6" w:space="0" w:sz="4" w:val="single"/>
            </w:tcBorders>
          </w:tcPr>
          <w:p w:rsidR="00000000" w:rsidDel="00000000" w:rsidP="00000000" w:rsidRDefault="00000000" w:rsidRPr="00000000" w14:paraId="000001EF">
            <w:pPr>
              <w:spacing w:after="0" w:line="252.00000000000003" w:lineRule="auto"/>
              <w:rPr>
                <w:color w:val="131a22"/>
              </w:rPr>
            </w:pPr>
            <w:r w:rsidDel="00000000" w:rsidR="00000000" w:rsidRPr="00000000">
              <w:rPr>
                <w:color w:val="131a22"/>
                <w:rtl w:val="0"/>
              </w:rPr>
              <w:t xml:space="preserve">Ops Finance </w:t>
            </w:r>
          </w:p>
          <w:p w:rsidR="00000000" w:rsidDel="00000000" w:rsidP="00000000" w:rsidRDefault="00000000" w:rsidRPr="00000000" w14:paraId="000001F0">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F1">
            <w:pPr>
              <w:spacing w:after="60" w:line="252.00000000000003" w:lineRule="auto"/>
              <w:rPr>
                <w:color w:val="131a22"/>
              </w:rPr>
            </w:pPr>
            <w:r w:rsidDel="00000000" w:rsidR="00000000" w:rsidRPr="00000000">
              <w:rPr>
                <w:color w:val="131a22"/>
                <w:rtl w:val="0"/>
              </w:rPr>
              <w:t xml:space="preserve">Tax</w:t>
            </w:r>
          </w:p>
        </w:tc>
      </w:tr>
      <w:tr>
        <w:trPr>
          <w:cantSplit w:val="0"/>
          <w:trHeight w:val="261" w:hRule="atLeast"/>
          <w:tblHeader w:val="0"/>
        </w:trPr>
        <w:tc>
          <w:tcPr>
            <w:tcBorders>
              <w:top w:color="000000" w:space="0" w:sz="0" w:val="nil"/>
              <w:bottom w:color="a6a6a6" w:space="0" w:sz="4"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F2">
            <w:pPr>
              <w:spacing w:after="60" w:line="252.00000000000003" w:lineRule="auto"/>
              <w:jc w:val="right"/>
              <w:rPr/>
            </w:pPr>
            <w:r w:rsidDel="00000000" w:rsidR="00000000" w:rsidRPr="00000000">
              <w:rPr>
                <w:rtl w:val="0"/>
              </w:rPr>
              <w:t xml:space="preserve">06 </w:t>
            </w:r>
          </w:p>
        </w:tc>
        <w:tc>
          <w:tcPr>
            <w:tcBorders>
              <w:top w:color="000000" w:space="0" w:sz="0" w:val="nil"/>
              <w:left w:color="000000" w:space="0" w:sz="0" w:val="nil"/>
              <w:bottom w:color="a6a6a6" w:space="0" w:sz="4"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F3">
            <w:pPr>
              <w:spacing w:after="60" w:line="252.00000000000003" w:lineRule="auto"/>
              <w:rPr/>
            </w:pPr>
            <w:r w:rsidDel="00000000" w:rsidR="00000000" w:rsidRPr="00000000">
              <w:rPr>
                <w:rtl w:val="0"/>
              </w:rPr>
              <w:t xml:space="preserve">Teller </w:t>
            </w:r>
          </w:p>
        </w:tc>
        <w:tc>
          <w:tcPr>
            <w:tcBorders>
              <w:top w:color="000000" w:space="0" w:sz="0" w:val="nil"/>
              <w:left w:color="000000" w:space="0" w:sz="0" w:val="nil"/>
              <w:bottom w:color="a6a6a6" w:space="0" w:sz="4" w:val="single"/>
              <w:right w:color="a6a6a6" w:space="0" w:sz="8" w:val="single"/>
            </w:tcBorders>
            <w:shd w:fill="f2f2f2" w:val="clear"/>
            <w:tcMar>
              <w:top w:w="15.0" w:type="dxa"/>
              <w:left w:w="15.0" w:type="dxa"/>
              <w:bottom w:w="0.0" w:type="dxa"/>
              <w:right w:w="15.0" w:type="dxa"/>
            </w:tcMar>
          </w:tcPr>
          <w:p w:rsidR="00000000" w:rsidDel="00000000" w:rsidP="00000000" w:rsidRDefault="00000000" w:rsidRPr="00000000" w14:paraId="000001F4">
            <w:pPr>
              <w:spacing w:after="0" w:line="252.00000000000003" w:lineRule="auto"/>
              <w:rPr>
                <w:color w:val="131a22"/>
              </w:rPr>
            </w:pPr>
            <w:r w:rsidDel="00000000" w:rsidR="00000000" w:rsidRPr="00000000">
              <w:rPr>
                <w:color w:val="131a22"/>
                <w:rtl w:val="0"/>
              </w:rPr>
              <w:t xml:space="preserve">Q4 2020 – Q2 2023</w:t>
            </w:r>
          </w:p>
          <w:p w:rsidR="00000000" w:rsidDel="00000000" w:rsidP="00000000" w:rsidRDefault="00000000" w:rsidRPr="00000000" w14:paraId="000001F5">
            <w:pPr>
              <w:spacing w:after="60" w:line="252.00000000000003" w:lineRule="auto"/>
              <w:rPr/>
            </w:pP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1F6">
            <w:pPr>
              <w:spacing w:after="60" w:line="252.00000000000003" w:lineRule="auto"/>
              <w:rPr/>
            </w:pPr>
            <w:r w:rsidDel="00000000" w:rsidR="00000000" w:rsidRPr="00000000">
              <w:rPr>
                <w:color w:val="131a22"/>
                <w:rtl w:val="0"/>
              </w:rPr>
              <w:t xml:space="preserve">Terry Carlson</w:t>
            </w:r>
            <w:r w:rsidDel="00000000" w:rsidR="00000000" w:rsidRPr="00000000">
              <w:rPr>
                <w:rtl w:val="0"/>
              </w:rPr>
            </w:r>
          </w:p>
        </w:tc>
        <w:tc>
          <w:tcPr>
            <w:tcBorders>
              <w:top w:color="a6a6a6" w:space="0" w:sz="8"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F7">
            <w:pPr>
              <w:spacing w:after="0" w:line="252.00000000000003" w:lineRule="auto"/>
              <w:rPr>
                <w:color w:val="131a22"/>
              </w:rPr>
            </w:pPr>
            <w:r w:rsidDel="00000000" w:rsidR="00000000" w:rsidRPr="00000000">
              <w:rPr>
                <w:color w:val="131a22"/>
                <w:rtl w:val="0"/>
              </w:rPr>
              <w:t xml:space="preserve">FinOps</w:t>
            </w:r>
          </w:p>
          <w:p w:rsidR="00000000" w:rsidDel="00000000" w:rsidP="00000000" w:rsidRDefault="00000000" w:rsidRPr="00000000" w14:paraId="000001F8">
            <w:pPr>
              <w:spacing w:after="0" w:line="252.00000000000003" w:lineRule="auto"/>
              <w:rPr>
                <w:color w:val="131a22"/>
              </w:rPr>
            </w:pPr>
            <w:r w:rsidDel="00000000" w:rsidR="00000000" w:rsidRPr="00000000">
              <w:rPr>
                <w:color w:val="131a22"/>
                <w:rtl w:val="0"/>
              </w:rPr>
              <w:t xml:space="preserve">Tax</w:t>
            </w:r>
          </w:p>
          <w:p w:rsidR="00000000" w:rsidDel="00000000" w:rsidP="00000000" w:rsidRDefault="00000000" w:rsidRPr="00000000" w14:paraId="000001F9">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1FA">
            <w:pPr>
              <w:spacing w:after="0" w:line="252.00000000000003" w:lineRule="auto"/>
              <w:rPr>
                <w:color w:val="131a22"/>
              </w:rPr>
            </w:pPr>
            <w:r w:rsidDel="00000000" w:rsidR="00000000" w:rsidRPr="00000000">
              <w:rPr>
                <w:color w:val="131a22"/>
                <w:rtl w:val="0"/>
              </w:rPr>
              <w:t xml:space="preserve">Ops Finance</w:t>
            </w:r>
          </w:p>
          <w:p w:rsidR="00000000" w:rsidDel="00000000" w:rsidP="00000000" w:rsidRDefault="00000000" w:rsidRPr="00000000" w14:paraId="000001FB">
            <w:pPr>
              <w:spacing w:after="0" w:line="252.00000000000003" w:lineRule="auto"/>
              <w:rPr>
                <w:color w:val="131a22"/>
              </w:rPr>
            </w:pPr>
            <w:r w:rsidDel="00000000" w:rsidR="00000000" w:rsidRPr="00000000">
              <w:rPr>
                <w:color w:val="131a22"/>
                <w:rtl w:val="0"/>
              </w:rPr>
              <w:t xml:space="preserve">Retail </w:t>
            </w:r>
          </w:p>
          <w:p w:rsidR="00000000" w:rsidDel="00000000" w:rsidP="00000000" w:rsidRDefault="00000000" w:rsidRPr="00000000" w14:paraId="000001FC">
            <w:pPr>
              <w:spacing w:after="60" w:line="252.00000000000003" w:lineRule="auto"/>
              <w:rPr>
                <w:color w:val="131a22"/>
              </w:rPr>
            </w:pPr>
            <w:r w:rsidDel="00000000" w:rsidR="00000000" w:rsidRPr="00000000">
              <w:rPr>
                <w:color w:val="131a22"/>
                <w:rtl w:val="0"/>
              </w:rPr>
              <w:t xml:space="preserve">Digital</w:t>
            </w:r>
          </w:p>
        </w:tc>
      </w:tr>
      <w:tr>
        <w:trPr>
          <w:cantSplit w:val="0"/>
          <w:trHeight w:val="261" w:hRule="atLeast"/>
          <w:tblHeader w:val="0"/>
        </w:trPr>
        <w:tc>
          <w:tcPr>
            <w:tcBorders>
              <w:top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1FD">
            <w:pPr>
              <w:spacing w:after="60" w:line="252.00000000000003" w:lineRule="auto"/>
              <w:jc w:val="right"/>
              <w:rPr/>
            </w:pPr>
            <w:r w:rsidDel="00000000" w:rsidR="00000000" w:rsidRPr="00000000">
              <w:rPr>
                <w:rtl w:val="0"/>
              </w:rPr>
              <w:t xml:space="preserve">07 </w:t>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1FE">
            <w:pPr>
              <w:spacing w:after="60" w:line="252.00000000000003" w:lineRule="auto"/>
              <w:rPr/>
            </w:pPr>
            <w:r w:rsidDel="00000000" w:rsidR="00000000" w:rsidRPr="00000000">
              <w:rPr>
                <w:rtl w:val="0"/>
              </w:rPr>
              <w:t xml:space="preserve">Receivables convergence </w:t>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1FF">
            <w:pPr>
              <w:spacing w:after="60" w:line="252.00000000000003" w:lineRule="auto"/>
              <w:rPr/>
            </w:pPr>
            <w:r w:rsidDel="00000000" w:rsidR="00000000" w:rsidRPr="00000000">
              <w:rPr>
                <w:color w:val="131a22"/>
                <w:rtl w:val="0"/>
              </w:rPr>
              <w:t xml:space="preserve">Q4 2020 – Q4 2023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200">
            <w:pPr>
              <w:spacing w:after="60" w:line="252.00000000000003" w:lineRule="auto"/>
              <w:rPr/>
            </w:pPr>
            <w:r w:rsidDel="00000000" w:rsidR="00000000" w:rsidRPr="00000000">
              <w:rPr>
                <w:color w:val="131a22"/>
                <w:rtl w:val="0"/>
              </w:rPr>
              <w:t xml:space="preserve">Umesh 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1">
            <w:pPr>
              <w:spacing w:after="0" w:line="252.00000000000003" w:lineRule="auto"/>
              <w:rPr>
                <w:color w:val="131a22"/>
              </w:rPr>
            </w:pPr>
            <w:r w:rsidDel="00000000" w:rsidR="00000000" w:rsidRPr="00000000">
              <w:rPr>
                <w:color w:val="131a22"/>
                <w:rtl w:val="0"/>
              </w:rPr>
              <w:t xml:space="preserve">FinOps</w:t>
            </w:r>
          </w:p>
          <w:p w:rsidR="00000000" w:rsidDel="00000000" w:rsidP="00000000" w:rsidRDefault="00000000" w:rsidRPr="00000000" w14:paraId="00000202">
            <w:pPr>
              <w:spacing w:after="0" w:line="252.00000000000003" w:lineRule="auto"/>
              <w:rPr>
                <w:color w:val="131a22"/>
              </w:rPr>
            </w:pPr>
            <w:r w:rsidDel="00000000" w:rsidR="00000000" w:rsidRPr="00000000">
              <w:rPr>
                <w:color w:val="131a22"/>
                <w:rtl w:val="0"/>
              </w:rPr>
              <w:t xml:space="preserve">Tax</w:t>
            </w:r>
          </w:p>
          <w:p w:rsidR="00000000" w:rsidDel="00000000" w:rsidP="00000000" w:rsidRDefault="00000000" w:rsidRPr="00000000" w14:paraId="00000203">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204">
            <w:pPr>
              <w:spacing w:after="60" w:line="252.00000000000003" w:lineRule="auto"/>
              <w:rPr>
                <w:color w:val="131a22"/>
              </w:rPr>
            </w:pPr>
            <w:r w:rsidDel="00000000" w:rsidR="00000000" w:rsidRPr="00000000">
              <w:rPr>
                <w:color w:val="131a22"/>
                <w:rtl w:val="0"/>
              </w:rPr>
              <w:t xml:space="preserve">eCommerce Foundation</w:t>
            </w:r>
          </w:p>
        </w:tc>
      </w:tr>
      <w:tr>
        <w:trPr>
          <w:cantSplit w:val="0"/>
          <w:trHeight w:val="261" w:hRule="atLeast"/>
          <w:tblHeader w:val="0"/>
        </w:trPr>
        <w:tc>
          <w:tcPr>
            <w:tcBorders>
              <w:top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05">
            <w:pPr>
              <w:spacing w:after="60" w:line="252.00000000000003" w:lineRule="auto"/>
              <w:jc w:val="right"/>
              <w:rPr/>
            </w:pPr>
            <w:r w:rsidDel="00000000" w:rsidR="00000000" w:rsidRPr="00000000">
              <w:rPr>
                <w:rtl w:val="0"/>
              </w:rPr>
              <w:t xml:space="preserve">08</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06">
            <w:pPr>
              <w:spacing w:after="60" w:line="252.00000000000003" w:lineRule="auto"/>
              <w:rPr/>
            </w:pPr>
            <w:r w:rsidDel="00000000" w:rsidR="00000000" w:rsidRPr="00000000">
              <w:rPr>
                <w:rtl w:val="0"/>
              </w:rPr>
              <w:t xml:space="preserve">Finance Data Vault</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07">
            <w:pPr>
              <w:spacing w:after="60" w:line="252.00000000000003" w:lineRule="auto"/>
              <w:rPr>
                <w:color w:val="131a22"/>
              </w:rPr>
            </w:pPr>
            <w:r w:rsidDel="00000000" w:rsidR="00000000" w:rsidRPr="00000000">
              <w:rPr>
                <w:color w:val="131a22"/>
                <w:rtl w:val="0"/>
              </w:rPr>
              <w:t xml:space="preserve">Q1 2021 – Q4 2021</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08">
            <w:pPr>
              <w:spacing w:after="60" w:line="252.00000000000003" w:lineRule="auto"/>
              <w:rPr>
                <w:color w:val="131a22"/>
              </w:rPr>
            </w:pPr>
            <w:r w:rsidDel="00000000" w:rsidR="00000000" w:rsidRPr="00000000">
              <w:rPr>
                <w:color w:val="131a22"/>
                <w:rtl w:val="0"/>
              </w:rPr>
              <w:t xml:space="preserve">Fareedh Meeran</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209">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20A">
            <w:pPr>
              <w:spacing w:after="60" w:line="252.00000000000003" w:lineRule="auto"/>
              <w:rPr>
                <w:color w:val="131a22"/>
              </w:rPr>
            </w:pPr>
            <w:r w:rsidDel="00000000" w:rsidR="00000000" w:rsidRPr="00000000">
              <w:rPr>
                <w:color w:val="131a22"/>
                <w:rtl w:val="0"/>
              </w:rPr>
              <w:t xml:space="preserve">Future customers TBD</w:t>
            </w:r>
          </w:p>
        </w:tc>
      </w:tr>
      <w:tr>
        <w:trPr>
          <w:cantSplit w:val="0"/>
          <w:trHeight w:val="261" w:hRule="atLeast"/>
          <w:tblHeader w:val="0"/>
        </w:trPr>
        <w:tc>
          <w:tcPr>
            <w:tcBorders>
              <w:top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20B">
            <w:pPr>
              <w:spacing w:after="60" w:line="252.00000000000003" w:lineRule="auto"/>
              <w:jc w:val="right"/>
              <w:rPr/>
            </w:pPr>
            <w:r w:rsidDel="00000000" w:rsidR="00000000" w:rsidRPr="00000000">
              <w:rPr>
                <w:rtl w:val="0"/>
              </w:rPr>
              <w:t xml:space="preserve">09</w:t>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20C">
            <w:pPr>
              <w:spacing w:after="60" w:line="252.00000000000003" w:lineRule="auto"/>
              <w:rPr/>
            </w:pPr>
            <w:r w:rsidDel="00000000" w:rsidR="00000000" w:rsidRPr="00000000">
              <w:rPr>
                <w:rtl w:val="0"/>
              </w:rPr>
              <w:t xml:space="preserve">GRC 2.0</w:t>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20D">
            <w:pPr>
              <w:spacing w:after="60" w:line="252.00000000000003" w:lineRule="auto"/>
              <w:rPr>
                <w:color w:val="131a22"/>
              </w:rPr>
            </w:pPr>
            <w:r w:rsidDel="00000000" w:rsidR="00000000" w:rsidRPr="00000000">
              <w:rPr>
                <w:color w:val="131a22"/>
                <w:rtl w:val="0"/>
              </w:rPr>
              <w:t xml:space="preserve">Q1 2021 – Q4 2021</w:t>
            </w:r>
          </w:p>
        </w:tc>
        <w:tc>
          <w:tcPr>
            <w:tcBorders>
              <w:top w:color="a6a6a6" w:space="0" w:sz="4" w:val="single"/>
              <w:left w:color="a6a6a6" w:space="0" w:sz="4" w:val="single"/>
              <w:bottom w:color="a6a6a6" w:space="0" w:sz="4" w:val="single"/>
              <w:right w:color="a6a6a6" w:space="0" w:sz="4" w:val="single"/>
            </w:tcBorders>
            <w:tcMar>
              <w:top w:w="15.0" w:type="dxa"/>
              <w:left w:w="15.0" w:type="dxa"/>
              <w:bottom w:w="0.0" w:type="dxa"/>
              <w:right w:w="15.0" w:type="dxa"/>
            </w:tcMar>
          </w:tcPr>
          <w:p w:rsidR="00000000" w:rsidDel="00000000" w:rsidP="00000000" w:rsidRDefault="00000000" w:rsidRPr="00000000" w14:paraId="0000020E">
            <w:pPr>
              <w:spacing w:after="60" w:line="252.00000000000003" w:lineRule="auto"/>
              <w:rPr>
                <w:color w:val="131a22"/>
              </w:rPr>
            </w:pPr>
            <w:r w:rsidDel="00000000" w:rsidR="00000000" w:rsidRPr="00000000">
              <w:rPr>
                <w:color w:val="131a22"/>
                <w:rtl w:val="0"/>
              </w:rPr>
              <w:t xml:space="preserve">Mukund Sundararajan</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20F">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210">
            <w:pPr>
              <w:spacing w:after="0" w:line="252.00000000000003" w:lineRule="auto"/>
              <w:rPr>
                <w:color w:val="131a22"/>
              </w:rPr>
            </w:pPr>
            <w:r w:rsidDel="00000000" w:rsidR="00000000" w:rsidRPr="00000000">
              <w:rPr>
                <w:color w:val="131a22"/>
                <w:rtl w:val="0"/>
              </w:rPr>
              <w:t xml:space="preserve">Ops Finance</w:t>
            </w:r>
          </w:p>
          <w:p w:rsidR="00000000" w:rsidDel="00000000" w:rsidP="00000000" w:rsidRDefault="00000000" w:rsidRPr="00000000" w14:paraId="00000211">
            <w:pPr>
              <w:spacing w:after="60" w:line="252.00000000000003" w:lineRule="auto"/>
              <w:rPr>
                <w:color w:val="131a22"/>
                <w:highlight w:val="yellow"/>
              </w:rPr>
            </w:pPr>
            <w:r w:rsidDel="00000000" w:rsidR="00000000" w:rsidRPr="00000000">
              <w:rPr>
                <w:color w:val="131a22"/>
                <w:rtl w:val="0"/>
              </w:rPr>
              <w:t xml:space="preserve">ERMC </w:t>
            </w:r>
            <w:r w:rsidDel="00000000" w:rsidR="00000000" w:rsidRPr="00000000">
              <w:rPr>
                <w:rtl w:val="0"/>
              </w:rPr>
            </w:r>
          </w:p>
        </w:tc>
      </w:tr>
      <w:tr>
        <w:trPr>
          <w:cantSplit w:val="0"/>
          <w:trHeight w:val="261" w:hRule="atLeast"/>
          <w:tblHeader w:val="0"/>
        </w:trPr>
        <w:tc>
          <w:tcPr>
            <w:tcBorders>
              <w:top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12">
            <w:pPr>
              <w:spacing w:after="60" w:line="252.00000000000003" w:lineRule="auto"/>
              <w:jc w:val="right"/>
              <w:rPr/>
            </w:pPr>
            <w:r w:rsidDel="00000000" w:rsidR="00000000" w:rsidRPr="00000000">
              <w:rPr>
                <w:rtl w:val="0"/>
              </w:rPr>
              <w:t xml:space="preserve">10</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13">
            <w:pPr>
              <w:spacing w:after="60" w:line="252.00000000000003" w:lineRule="auto"/>
              <w:rPr/>
            </w:pPr>
            <w:r w:rsidDel="00000000" w:rsidR="00000000" w:rsidRPr="00000000">
              <w:rPr>
                <w:rtl w:val="0"/>
              </w:rPr>
              <w:t xml:space="preserve">Intercompany</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14">
            <w:pPr>
              <w:spacing w:after="60" w:line="252.00000000000003" w:lineRule="auto"/>
              <w:rPr>
                <w:color w:val="131a22"/>
              </w:rPr>
            </w:pPr>
            <w:r w:rsidDel="00000000" w:rsidR="00000000" w:rsidRPr="00000000">
              <w:rPr>
                <w:color w:val="131a22"/>
                <w:rtl w:val="0"/>
              </w:rPr>
              <w:t xml:space="preserve">Q4 2020 – Q4 2023</w:t>
            </w:r>
          </w:p>
        </w:tc>
        <w:tc>
          <w:tcPr>
            <w:tcBorders>
              <w:top w:color="a6a6a6" w:space="0" w:sz="4" w:val="single"/>
              <w:left w:color="a6a6a6" w:space="0" w:sz="4" w:val="single"/>
              <w:bottom w:color="a6a6a6" w:space="0" w:sz="4" w:val="single"/>
              <w:right w:color="a6a6a6" w:space="0" w:sz="4" w:val="single"/>
            </w:tcBorders>
            <w:shd w:fill="f2f2f2" w:val="clear"/>
            <w:tcMar>
              <w:top w:w="15.0" w:type="dxa"/>
              <w:left w:w="15.0" w:type="dxa"/>
              <w:bottom w:w="0.0" w:type="dxa"/>
              <w:right w:w="15.0" w:type="dxa"/>
            </w:tcMar>
          </w:tcPr>
          <w:p w:rsidR="00000000" w:rsidDel="00000000" w:rsidP="00000000" w:rsidRDefault="00000000" w:rsidRPr="00000000" w14:paraId="00000215">
            <w:pPr>
              <w:spacing w:after="60" w:line="252.00000000000003" w:lineRule="auto"/>
              <w:rPr>
                <w:color w:val="131a22"/>
              </w:rPr>
            </w:pPr>
            <w:r w:rsidDel="00000000" w:rsidR="00000000" w:rsidRPr="00000000">
              <w:rPr>
                <w:color w:val="131a22"/>
                <w:rtl w:val="0"/>
              </w:rPr>
              <w:t xml:space="preserve">Anand Kuppusamy</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216">
            <w:pPr>
              <w:spacing w:after="0" w:line="252.00000000000003" w:lineRule="auto"/>
              <w:rPr>
                <w:color w:val="131a22"/>
              </w:rPr>
            </w:pPr>
            <w:r w:rsidDel="00000000" w:rsidR="00000000" w:rsidRPr="00000000">
              <w:rPr>
                <w:color w:val="131a22"/>
                <w:rtl w:val="0"/>
              </w:rPr>
              <w:t xml:space="preserve">Accounting</w:t>
            </w:r>
          </w:p>
          <w:p w:rsidR="00000000" w:rsidDel="00000000" w:rsidP="00000000" w:rsidRDefault="00000000" w:rsidRPr="00000000" w14:paraId="00000217">
            <w:pPr>
              <w:spacing w:after="0" w:line="252.00000000000003" w:lineRule="auto"/>
              <w:rPr>
                <w:color w:val="131a22"/>
              </w:rPr>
            </w:pPr>
            <w:r w:rsidDel="00000000" w:rsidR="00000000" w:rsidRPr="00000000">
              <w:rPr>
                <w:color w:val="131a22"/>
                <w:rtl w:val="0"/>
              </w:rPr>
              <w:t xml:space="preserve">Tax</w:t>
            </w:r>
          </w:p>
          <w:p w:rsidR="00000000" w:rsidDel="00000000" w:rsidP="00000000" w:rsidRDefault="00000000" w:rsidRPr="00000000" w14:paraId="00000218">
            <w:pPr>
              <w:spacing w:after="0" w:line="252.00000000000003" w:lineRule="auto"/>
              <w:rPr>
                <w:color w:val="131a22"/>
              </w:rPr>
            </w:pPr>
            <w:r w:rsidDel="00000000" w:rsidR="00000000" w:rsidRPr="00000000">
              <w:rPr>
                <w:color w:val="131a22"/>
                <w:rtl w:val="0"/>
              </w:rPr>
              <w:t xml:space="preserve">Tax Engine Artisans (ECF)</w:t>
            </w:r>
          </w:p>
          <w:p w:rsidR="00000000" w:rsidDel="00000000" w:rsidP="00000000" w:rsidRDefault="00000000" w:rsidRPr="00000000" w14:paraId="00000219">
            <w:pPr>
              <w:spacing w:after="60" w:line="252.00000000000003" w:lineRule="auto"/>
              <w:rPr>
                <w:color w:val="131a22"/>
              </w:rPr>
            </w:pPr>
            <w:r w:rsidDel="00000000" w:rsidR="00000000" w:rsidRPr="00000000">
              <w:rPr>
                <w:color w:val="131a22"/>
                <w:rtl w:val="0"/>
              </w:rPr>
              <w:t xml:space="preserve">Treasury</w:t>
            </w:r>
          </w:p>
        </w:tc>
      </w:tr>
    </w:tbl>
    <w:p w:rsidR="00000000" w:rsidDel="00000000" w:rsidP="00000000" w:rsidRDefault="00000000" w:rsidRPr="00000000" w14:paraId="0000021A">
      <w:pPr>
        <w:spacing w:after="160" w:line="259" w:lineRule="auto"/>
        <w:rPr>
          <w:b w:val="1"/>
          <w:bCs w:val="1"/>
        </w:rPr>
      </w:pPr>
      <w:r w:rsidDel="00000000" w:rsidR="00000000" w:rsidRPr="00000000">
        <w:rPr>
          <w:rtl w:val="0"/>
        </w:rPr>
      </w:r>
    </w:p>
    <w:p w:rsidR="00000000" w:rsidDel="00000000" w:rsidP="00000000" w:rsidRDefault="00000000" w:rsidRPr="00000000" w14:paraId="0000021B">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E: FGBS FAQs</w:t>
      </w:r>
    </w:p>
    <w:p w:rsidR="00000000" w:rsidDel="00000000" w:rsidP="00000000" w:rsidRDefault="00000000" w:rsidRPr="00000000" w14:paraId="0000021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Summarize changes to headcount and OpEx in your organization in +/- # and % to 2020 R&amp;O and identify key drivers.</w:t>
      </w:r>
    </w:p>
    <w:p w:rsidR="00000000" w:rsidDel="00000000" w:rsidP="00000000" w:rsidRDefault="00000000" w:rsidRPr="00000000" w14:paraId="0000021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 Appendix A for reconciliation between our 2020 plan and 2021 OP1. The main body of the doc specifies key drivers.</w:t>
      </w:r>
    </w:p>
    <w:p w:rsidR="00000000" w:rsidDel="00000000" w:rsidP="00000000" w:rsidRDefault="00000000" w:rsidRPr="00000000" w14:paraId="0000021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If your OP1 submission for 2021 does not tie to your 3YF submission, explain why. </w:t>
      </w:r>
    </w:p>
    <w:p w:rsidR="00000000" w:rsidDel="00000000" w:rsidP="00000000" w:rsidRDefault="00000000" w:rsidRPr="00000000" w14:paraId="0000021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2021 headcount target in our 3YF was 607. In OP1, we are requesting an additional 55 headcount above our 3YF submission. These additional requests are to deliver priority projects discussed with our customers during OP1, including compliance projects for Tax (+40), continue to accelerate building AR capabilities outside OFA (+10), and Buy-Sell Phase 2 for Accounting (+5). </w:t>
      </w:r>
    </w:p>
    <w:p w:rsidR="00000000" w:rsidDel="00000000" w:rsidP="00000000" w:rsidRDefault="00000000" w:rsidRPr="00000000" w14:paraId="0000022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Please explain how you are allocating your resources by business. (These should align to headcount mapping templates.)</w:t>
      </w:r>
    </w:p>
    <w:p w:rsidR="00000000" w:rsidDel="00000000" w:rsidP="00000000" w:rsidRDefault="00000000" w:rsidRPr="00000000" w14:paraId="0000022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business receives a weighted allocation based on the allocation to our FGBS customers. FinTech has only one cost center (8888). As we support teams across FGBS, we use their allocation to Amazon’s business lines as our basis for allocating our resources. Amongst our FinTech teams, we identify domains that directly support one primary customer in FGBS and allocate according to their allocation. We allocate the remaining resources based on a weighted percentage of the directly supported teams. </w:t>
      </w:r>
    </w:p>
    <w:p w:rsidR="00000000" w:rsidDel="00000000" w:rsidP="00000000" w:rsidRDefault="00000000" w:rsidRPr="00000000" w14:paraId="000002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“dogs not barking” worry you?</w:t>
      </w:r>
    </w:p>
    <w:p w:rsidR="00000000" w:rsidDel="00000000" w:rsidP="00000000" w:rsidRDefault="00000000" w:rsidRPr="00000000" w14:paraId="000002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Subsidiaries.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 does not advocate a single approach for subsidiaries. However, we want equivalent and consistent financial controls. In 2021, we will hire a Technical Program Manager to inventory existing subsidiary financial systems and plans. We will use this inventory to refine our point-of-view and determine how FinTech can contribute during 2021. Our contributions will include archival compliance needs and potential feeds to Finance Data Vault.</w:t>
      </w:r>
    </w:p>
    <w:p w:rsidR="00000000" w:rsidDel="00000000" w:rsidP="00000000" w:rsidRDefault="00000000" w:rsidRPr="00000000" w14:paraId="0000022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Third-Party Tools.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FGBS uses 401 known third-party applications, growing 10% YoY. FinTech’s third-party risk management framework will raise the bar from InfoSec’s checklist based assessment and perform risk-based assessments, including contractual obligations, industry audit reports, technical and business process vulnerabilities, integration architecture, data sharing mechanisms, and ongoing monitoring. Since January 2020, we evaluated 30 new and six existing applications, remediating 40 high-risk findings. We will triage, tier, and work through the backlog of 365 applications by the end of 2021, prioritizing risk while evaluating new requests as usage expands.</w:t>
      </w:r>
    </w:p>
    <w:p w:rsidR="00000000" w:rsidDel="00000000" w:rsidP="00000000" w:rsidRDefault="00000000" w:rsidRPr="00000000" w14:paraId="000002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were your top misses and learnings over the past year? What are you most disappointed about in your area (dirty laundry)?</w:t>
      </w:r>
    </w:p>
    <w:p w:rsidR="00000000" w:rsidDel="00000000" w:rsidP="00000000" w:rsidRDefault="00000000" w:rsidRPr="00000000" w14:paraId="0000022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OFA Payments Performance.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During the Close periods for April, May, June, and August 2020, OFA payment batches ran two to three times longer than expected. On 5/1/2020, Flex, US Retail inventory, and lease payments for 24.6K invoices ($34.9MM) were paid one to three days late. FinTech is now addressing the short and long-term work streams in parallel to optimize the database, application, and process necessary to accommodate continued growth in payment volumes.</w:t>
      </w:r>
    </w:p>
    <w:p w:rsidR="00000000" w:rsidDel="00000000" w:rsidP="00000000" w:rsidRDefault="00000000" w:rsidRPr="00000000" w14:paraId="000002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Transfers Out.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Our transfer-out rate for 2019 was 26%, with 71 transfers into FinTech and 100 transfers out. We continue to face a challenge with an uneven flow of internal transfers to and from other Amazon tech teams and have a 2020 CFO goal to maintain transfers out below 25%. As of 9/21/2020, 88 people transferred out, and 57 transferred into FinTech. With a transfer-out rate of 27.5%, we are yellow for our 2020 goal.</w:t>
      </w:r>
    </w:p>
    <w:p w:rsidR="00000000" w:rsidDel="00000000" w:rsidP="00000000" w:rsidRDefault="00000000" w:rsidRPr="00000000" w14:paraId="0000022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Teller Go-live Delay.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Teller is FinTech’s initiative to build AP technology to replace OFA batch payment disbursement. Due to Transportation Financial Systems delays, Teller UK Transportation will not launch in 2020. The Transportation team cannot meet the schedule for planned integration work in Q2 2020 due to hiring challenges, India e-invoicing compliance, and unplanned daily payments for Relay carriers due to COVID-19. We created a 12-month launch plan with go-live for penny testing in Q3 2020, 90% of Transportation Q2 &amp; Q3 2021, and 20% of Digital invoices in Q3 2021.</w:t>
      </w:r>
    </w:p>
    <w:p w:rsidR="00000000" w:rsidDel="00000000" w:rsidP="00000000" w:rsidRDefault="00000000" w:rsidRPr="00000000" w14:paraId="0000022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OFA Database Upgrade Delay.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OFA is a third-party licensed product for processing General Ledger, Fixed Assets, Accounts Payables, and Accounts Receivables financial transactions. Our OFA 19g database upgrade launch was moved from 8/16/2020 to 10/25/2020 due to a defect with the secondary database upgrade process. FinTech discovered this defect during practice runs. Oracle provided a fix on 8/19/2020, and we successfully retested. FinOps, FinAuto, Tax, Accounting, and FinTech agreed to a revised database upgrade launch date of 10/25/2020.</w:t>
      </w:r>
    </w:p>
    <w:p w:rsidR="00000000" w:rsidDel="00000000" w:rsidP="00000000" w:rsidRDefault="00000000" w:rsidRPr="00000000" w14:paraId="0000022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Reserve Automation Delays.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started 2020 to automate 12 reserves and five rates. By mid-2020, we realized that the rate calculations are more complex than reserve automation. Rates calculation is based on the historical trend and across entities in a region. We automated three reserve (FBA - MFI, WHL, and RR) calculations in November 2019, but we did not launch due to a lack of upstream automated controls. We had more transfers-out in this area. We acknowledged the goal to automate 12 reserves and five rates was not realistic and worked with Accounting to revise the goal to deliver six reserves and three rates in 2020. We used this learning opportunity to adjust our engineering approach and roadmap planning to speed reserve and rate automation in the future.</w:t>
      </w:r>
    </w:p>
    <w:p w:rsidR="00000000" w:rsidDel="00000000" w:rsidP="00000000" w:rsidRDefault="00000000" w:rsidRPr="00000000" w14:paraId="0000022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Intercompany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implement solutions to ensure the transactions between Amazon’s entities across the globe are accounted, settled, and reported accurately. We began 2020 with a goal of full indirect tax automation by Q1 2021. The complete automation requires integrating the MJE tool with the Tax Engine system. While we will deliver the MJE tool in October 2020, we will not meet our full automation goal by Q1 2021. As a result, we cannot close the GRC exception for manual tax calculation, identified by Germany’s internal audit. There are two reasons for the miss. First, Tax Engine delayed integration with the MJE tool due to a mandatory Vertex, a third-party tax calculation tool, version upgrade. Secondly, tax calculations for reverse charges are more complicated than we anticipated. Hence, full automation of indirect tax calculation moves to Q3 2021, and we will extend the GRC exception.</w:t>
      </w:r>
    </w:p>
    <w:p w:rsidR="00000000" w:rsidDel="00000000" w:rsidP="00000000" w:rsidRDefault="00000000" w:rsidRPr="00000000" w14:paraId="0000022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Long Payment Failure Tail.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set a goal to reduce the payment failure rate of Accounts Payable by 30% from 0.58% (138K) to 0.41% (97K) annually. In Q3 2020, we lowered the target to 14% due to delays in contract negotiations between banking partner, JP Morgan Chase, and account validation service provider, Early Warning Systems. We learned to initiate contract negotiations as soon as possible and leverage our banking relationships with Treasury in escalations.</w:t>
      </w:r>
    </w:p>
    <w:p w:rsidR="00000000" w:rsidDel="00000000" w:rsidP="00000000" w:rsidRDefault="00000000" w:rsidRPr="00000000" w14:paraId="0000022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were your positive surprises over the last year? How are you doubling down on them, and what are the specific actions that evolved from these positive surprises?</w:t>
      </w:r>
    </w:p>
    <w:p w:rsidR="00000000" w:rsidDel="00000000" w:rsidP="00000000" w:rsidRDefault="00000000" w:rsidRPr="00000000" w14:paraId="0000022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 Recruiting Acceleration.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FinTech’s 2020 headcount target to start the year was 523, a 28% increase from our 2019 headcount target of 410. Hiring in the first quarter was slow; however, we exceeded our US hiring target each month since March. While we saw success in the US, India became a challenge with the lockdown starting in March. We met and exceeded our US hiring target by July 2020, beating our plan by five months. Hiring success allowed us to shift more focus on recruiting L6 software development engineers, which are more challenging to fill. We received approval and began recruiting for our Fixed Assets team in HQ2 six months earlier than planned, adding another 26 people to our 2020 target. Possibly the most favorable outcome of this success is we will go into 2021 with our teams fully staffed.</w:t>
      </w:r>
      <w:r w:rsidDel="00000000" w:rsidR="00000000" w:rsidRPr="00000000">
        <w:rPr>
          <w:rtl w:val="0"/>
        </w:rPr>
      </w:r>
    </w:p>
    <w:p w:rsidR="00000000" w:rsidDel="00000000" w:rsidP="00000000" w:rsidRDefault="00000000" w:rsidRPr="00000000" w14:paraId="0000022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Fixed Assets Useful Life.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January 2020, we automated the process to accurately reflect and disclose the appropriate useful life for AWS server and network racks annually. We executed the automation across 42 ledgers and updated the useful life of 605K assets with a net book value of $12.5B.</w:t>
      </w:r>
    </w:p>
    <w:p w:rsidR="00000000" w:rsidDel="00000000" w:rsidP="00000000" w:rsidRDefault="00000000" w:rsidRPr="00000000" w14:paraId="000002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Preventing Unintended Cash Disbursements.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 of 8/30/2020, we prevented or recovered unintended disbursements of $267MM, exceeding the $250MM shared goal that we set with FinOps for 2020. By adding new machine learning detectors and providing an integrated view that removes falsely flagged disbursements to speed reviews by FinOps investigators, we were able to achieve $250MM in less than eight months this year. By comparison, we took twelve months to reach $200MM in 2019. For the rest of 2020, we will continue to add detectors and reduce investigator effort. We will continue to invest and partner with FinOps and have a shared goal in 2021 to prevent and recover $400MM in erroneous payments.</w:t>
      </w:r>
    </w:p>
    <w:p w:rsidR="00000000" w:rsidDel="00000000" w:rsidP="00000000" w:rsidRDefault="00000000" w:rsidRPr="00000000" w14:paraId="0000023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Matching and Clearing Engine (MACE) Platform.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March 2019, we launched a self-service data matching and clearing platform—MACE. MACE saves 7K of yearly manual effort and improves accuracy. As of August 2020, we onboarded a total of 12,007 reconciliations or 56% of the total FOAA reconciliations in MACE. We are on track to meet our OP2 goal of 60% for 2020. We also have process improvements in-flight (e.g., Cash OCM reporting 37 enhancements, Data Sourcing initiatives to deprecate Project One) that, if completed, will put our onboarding for the year at 78%, exceeding our target of 60% reconciliations for the year.</w:t>
      </w:r>
    </w:p>
    <w:p w:rsidR="00000000" w:rsidDel="00000000" w:rsidP="00000000" w:rsidRDefault="00000000" w:rsidRPr="00000000" w14:paraId="0000023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Spectra based HPCM Deprecation.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 of 2020, we migrated two of the three Hyperion Profitability and Cost Management (HPCM) cubes to Spectra and are on track to complete the remaining HPCM 400 Margin formulas and PAN EU 18 formulas along with OFA 500 re-classes by October month-end close. With this, we will automate 1.7K allocation formulas to eliminate HPCM scalability risk. This work will enable us to deprecate the Oracle’s HPCM application, which we are on track to complete in Q1 2021 after running in parallel for a few months.</w:t>
      </w:r>
    </w:p>
    <w:p w:rsidR="00000000" w:rsidDel="00000000" w:rsidP="00000000" w:rsidRDefault="00000000" w:rsidRPr="00000000" w14:paraId="000002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Entity Expansions Learning Curve.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Entity management delivered more (150 entities in 40 countries, up from 90 entities in 2019) with fewer people (decreased from 25 to 16) through the learning experience and workflow tooling to accelerate entity expansion and restructuring projects. </w:t>
      </w:r>
      <w:r w:rsidDel="00000000" w:rsidR="00000000" w:rsidRPr="00000000">
        <w:rPr>
          <w:rtl w:val="0"/>
        </w:rPr>
      </w:r>
    </w:p>
    <w:p w:rsidR="00000000" w:rsidDel="00000000" w:rsidP="00000000" w:rsidRDefault="00000000" w:rsidRPr="00000000" w14:paraId="0000023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Payments Batching Architecture Reuse.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June 2020, we deployed a new payment batching infrastructure solution built by FinTech using native AWS. Standard Chartered Bank is the first banking partner to use modern architecture, and we will complete traffic dial-up by 9/30/2020. Other providers will complete by 11/30/2020. The design decouples infrastructure and business logic, resulting in reducing developer effort from 12 to 8 weeks per bank while providing better security with containerization. Consumer Payments agreed to use this architecture for all disbursements, including Seller payments.</w:t>
      </w:r>
    </w:p>
    <w:p w:rsidR="00000000" w:rsidDel="00000000" w:rsidP="00000000" w:rsidRDefault="00000000" w:rsidRPr="00000000" w14:paraId="0000023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metrics do you use within your teams to justify incremental headcount (i.e.: x number of heads per number of regions, countries, products, services, etc.)?</w:t>
      </w:r>
    </w:p>
    <w:p w:rsidR="00000000" w:rsidDel="00000000" w:rsidP="00000000" w:rsidRDefault="00000000" w:rsidRPr="00000000" w14:paraId="0000023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works to provide leverage to stakeholders. We build automation and self-service tools on behalf of our stakeholders to scale for Amazon’s growth. Once we deploy, our involvement with these tools is for KTLO, and we do not need to add additional headcount. We will continue to enhance the tools to meet business needs and re-allocate some resources to other high-priority projects as required. We assess all our projects across one or more dimensions of accuracy, timeliness, reduced manual effort, and developer productivity. We share these metrics with our stakeholders during MBRs.</w:t>
      </w:r>
    </w:p>
    <w:p w:rsidR="00000000" w:rsidDel="00000000" w:rsidP="00000000" w:rsidRDefault="00000000" w:rsidRPr="00000000" w14:paraId="0000023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70" w:right="144" w:hanging="27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If you have variable costs, what are you doing to reduce defects and drive productivity?</w:t>
      </w:r>
    </w:p>
    <w:p w:rsidR="00000000" w:rsidDel="00000000" w:rsidP="00000000" w:rsidRDefault="00000000" w:rsidRPr="00000000" w14:paraId="0000023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 applicable.</w:t>
      </w:r>
    </w:p>
    <w:p w:rsidR="00000000" w:rsidDel="00000000" w:rsidP="00000000" w:rsidRDefault="00000000" w:rsidRPr="00000000" w14:paraId="0000023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70" w:right="144" w:hanging="27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 currently doing to automate processes in your team and what are your automation plans in 2020? </w:t>
      </w:r>
    </w:p>
    <w:p w:rsidR="00000000" w:rsidDel="00000000" w:rsidP="00000000" w:rsidRDefault="00000000" w:rsidRPr="00000000" w14:paraId="0000023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our charter is to enable FGBS teams and provide leverage through automation and self-service, our automation initiatives primarily benefit our customers. Our OP1 docs include all these automation investments. In addition to these, we allocate time to reduce manual processes, streamline processes, and improve developer productivity within our teams. As we optimize to iterate and learn, we release tools to stakeholders that require manual setup by engineers. For example, we released remittance ingestion service to auto-apply remittance information sent by email into OFA. Onboarding new email inboxes is currently laborious, requiring two months to onboard 50 mailboxes. </w:t>
      </w:r>
    </w:p>
    <w:p w:rsidR="00000000" w:rsidDel="00000000" w:rsidP="00000000" w:rsidRDefault="00000000" w:rsidRPr="00000000" w14:paraId="0000023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dedicate time to automate engineers’ manual processes to better serve our customers and improve developers’ experience. We will empower managers to allocate time to reduce engineers’ manual involvement post-deployment.</w:t>
      </w:r>
    </w:p>
    <w:p w:rsidR="00000000" w:rsidDel="00000000" w:rsidP="00000000" w:rsidRDefault="00000000" w:rsidRPr="00000000" w14:paraId="0000023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would your team need (tools, systems, etc.) to keep headcount flat for 3 years?</w:t>
      </w:r>
    </w:p>
    <w:p w:rsidR="00000000" w:rsidDel="00000000" w:rsidP="00000000" w:rsidRDefault="00000000" w:rsidRPr="00000000" w14:paraId="0000023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we had to keep our headcount flat, we would review our work’s prioritization, focusing first on work supporting compliance with laws and regulations, then on initiatives for automating work and reducing costs, and finally, on capabilities providing business insights. This reprioritization would affect customer goals and could block Amazon’s growth. Keeping FinTech headcount flat would lead to our customers either growing their own headcount to perform their required work manually, or starting their own tech teams to build needed capabilities themselves. </w:t>
      </w:r>
    </w:p>
    <w:p w:rsidR="00000000" w:rsidDel="00000000" w:rsidP="00000000" w:rsidRDefault="00000000" w:rsidRPr="00000000" w14:paraId="0000023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are you doing to increase inclusion, diversity of thought, and diversity in your organization?</w:t>
      </w:r>
    </w:p>
    <w:p w:rsidR="00000000" w:rsidDel="00000000" w:rsidP="00000000" w:rsidRDefault="00000000" w:rsidRPr="00000000" w14:paraId="0000023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will focus on attracting diverse talent, both individual contributors, and leadership. Our current female, LatinX, and the Black population, is not where we need to be. </w:t>
      </w:r>
    </w:p>
    <w:p w:rsidR="00000000" w:rsidDel="00000000" w:rsidP="00000000" w:rsidRDefault="00000000" w:rsidRPr="00000000" w14:paraId="0000024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achieve our goals, we will ensure inclusion and diversity remains at the forefront of dialogue with our team. Role models within the org are important to retain diverse individual contributor talent. In 2020, we had a CFO goal to triple our diverse technical leaders from two to six. We are on track to meet this goal with five diverse leaders now on the team, including a female tech director, and an additional diverse leader starting in October. Last year, we had managers provide in-person Team Inclusion training. This year, we will have all L5+ team members take Inclusive Hiring training online. We will have goals for recruiting to ensure loops include diverse candidates before extending an offer, starting with all L6+ positions except SDE and DE. We will continue to identify and pilot new ideas and learn from other teams’ success across Amazon.</w:t>
      </w:r>
    </w:p>
    <w:p w:rsidR="00000000" w:rsidDel="00000000" w:rsidP="00000000" w:rsidRDefault="00000000" w:rsidRPr="00000000" w14:paraId="0000024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your plan for HQ2 in 2020 and beyond? Provide detail of your plans for future growth in Arlington, VA.</w:t>
      </w:r>
    </w:p>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2020-2023, we plan to grow our HQ2 headcount by 30+ each year, with a target of 162 by the end of 2023. In the next three years, we will grow in HQ2 while we reduce in Seattle. We will increase slightly in our Jersey City office. At the end of three years, our combined HQ2 and Jersey City dev centers will be approximately the same size as Seattle. In HQ2, we will hire an L7 tech leader by the end of 2021, and an L8 tech director by 2022.</w:t>
      </w:r>
      <w:r w:rsidDel="00000000" w:rsidR="00000000" w:rsidRPr="00000000">
        <w:br w:type="page"/>
      </w:r>
      <w:r w:rsidDel="00000000" w:rsidR="00000000" w:rsidRPr="00000000">
        <w:rPr>
          <w:rtl w:val="0"/>
        </w:rPr>
      </w:r>
    </w:p>
    <w:p w:rsidR="00000000" w:rsidDel="00000000" w:rsidP="00000000" w:rsidRDefault="00000000" w:rsidRPr="00000000" w14:paraId="00000243">
      <w:pPr>
        <w:keepNext w:val="1"/>
        <w:keepLines w:val="0"/>
        <w:pageBreakBefore w:val="1"/>
        <w:widowControl w:val="1"/>
        <w:pBdr>
          <w:top w:color="000000" w:space="0" w:sz="4" w:val="single"/>
          <w:left w:space="0" w:sz="0" w:val="nil"/>
          <w:bottom w:space="0" w:sz="0" w:val="nil"/>
          <w:right w:space="0" w:sz="0" w:val="nil"/>
          <w:between w:space="0" w:sz="0" w:val="nil"/>
        </w:pBdr>
        <w:shd w:fill="auto" w:val="clear"/>
        <w:spacing w:after="140" w:before="2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F: Additional FinTech FAQs</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FinTech doing in 2021 for its employees to ensure inclusivity?</w:t>
      </w:r>
    </w:p>
    <w:p w:rsidR="00000000" w:rsidDel="00000000" w:rsidP="00000000" w:rsidRDefault="00000000" w:rsidRPr="00000000" w14:paraId="000002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focus on cultivating an inclusive culture, empowering our people, expanding our pipeline, and growing leadership engagement. In 2021, we will continue to foster open mindsets and promote inclusive behaviors that make employees feel valued, trusted, connected, and informed. We will set FinTech level goals for inclusion with a feedback loop to individual contributors and people managers to measure progress and make adjustments. FinTech will leverage FGBS and Amazon initiatives such as inclusive hiring, inclusive leadership, team inclusion, and the circles program.</w:t>
      </w:r>
    </w:p>
    <w:p w:rsidR="00000000" w:rsidDel="00000000" w:rsidP="00000000" w:rsidRDefault="00000000" w:rsidRPr="00000000" w14:paraId="0000024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Considering the large hiring needs for 2021, how will FinTech meet its hiring goals for 2021 and deliver on commitments?</w:t>
      </w:r>
    </w:p>
    <w:p w:rsidR="00000000" w:rsidDel="00000000" w:rsidP="00000000" w:rsidRDefault="00000000" w:rsidRPr="00000000" w14:paraId="0000024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FinTech’s 2021 headcount target is 662, which is a net increase of 113 heads. We recognize hiring more than 100 people in addition to 30% backfilling for average departures (internal transfers and Amazon exits) will be a challenge. However, the hiring success we had in 2020 thus far gives us confidence that we can achieve similar results in 2021. As of 9/21/2020, we increased our staff by 143 in 2020, which is over 90% of our net increase target of 158. We are on pace to be fully staffed to our 2020 headcount target before we begin our 2021 hiring, which has not been the case in previous years. We are opening two new development centers for FinTech next year: HQ2 and New Delhi, India. We believe both of these provide access to healthy talent pools. In addition to these two locations, we plan to grow our team in Brazil. To address the unknowns in the Brazil market, we plan to engage a local agency for sourcing. We believe the combination of the things above will help us meet our hiring needs for 2021. </w:t>
      </w:r>
    </w:p>
    <w:p w:rsidR="00000000" w:rsidDel="00000000" w:rsidP="00000000" w:rsidRDefault="00000000" w:rsidRPr="00000000" w14:paraId="0000024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we are confident with our ability to hire, one of our significant challenges is to reduce our transfer-out rate. FinTech has always been a net exporter of talent to other teams in Amazon. As of 9/21/2020, we had 57 transfers in, and 88 transfers out. We are taking steps to improve this by showing our team how our work benefits stakeholders and Amazon and creating opportunities for team members to rotate within FinTech when looking for a new challenge.</w:t>
      </w:r>
    </w:p>
    <w:p w:rsidR="00000000" w:rsidDel="00000000" w:rsidP="00000000" w:rsidRDefault="00000000" w:rsidRPr="00000000" w14:paraId="0000024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third-party products are you retiring in 2021?</w:t>
      </w:r>
    </w:p>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FinTech will deprecate OBIEE in favor of QuickSight (QS), saving $50MM in OBIEE licensing and support fees. In 2020, we worked with the QS team to prioritize our P0 and P1 features to migrate to QS. We will help Accounting and Tax stakeholders to migrate OBIEE reports to QS. We will consolidate four RA3 Redshift clusters to enable horizontal query federation to support large USL datasets. We will deprecate Hyperion Profitability and Cost Management (HPCM), an Oracle product, in Q1 2021 with FinTech’s Spectra.</w:t>
      </w:r>
    </w:p>
    <w:p w:rsidR="00000000" w:rsidDel="00000000" w:rsidP="00000000" w:rsidRDefault="00000000" w:rsidRPr="00000000" w14:paraId="0000024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mechanisms do you have for connecting with your customers?</w:t>
      </w:r>
    </w:p>
    <w:p w:rsidR="00000000" w:rsidDel="00000000" w:rsidP="00000000" w:rsidRDefault="00000000" w:rsidRPr="00000000" w14:paraId="000002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use Monthly and Quarterly Business Reviews, three-year planning, operational planning, and town hall interviews to connect with our customers throughout the year. In 2020, we prepared our first three-year plan since 2017. This process involved connecting with each of our stakeholders across FGBS, ensuring they challenged us to think big and ensure our plans included their goals. Going forward, we will revisit and update this plan with our customers every year. For OP, beyond this FinTech document, we prepare and review individual OP documents for each of our customers. Customer-specific OP docs ensure we stay connected to our immediate plans for the following year. Our Town Hall series, which we initiated in 2020, includes Q&amp;A with our customers. These Town Halls are conducted live with our global FinTech team and are available for replay on our FinTech broadcast page. Year to date, we interviewed two customer VPs as part of this series. We have another VP interview planned in October and will continue to engage with customers on a rolling basis.</w:t>
      </w:r>
    </w:p>
    <w:p w:rsidR="00000000" w:rsidDel="00000000" w:rsidP="00000000" w:rsidRDefault="00000000" w:rsidRPr="00000000" w14:paraId="0000024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How has COVID-19 impacted FinTech?</w:t>
      </w:r>
    </w:p>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Connections responses from 4/8/2020 indicate FinTech productivity is not materially impacted by working from home (29% report an increase in productivity, 21% a decrease, 50% no change). We have concerns with prolonged working from home, as 39% reported working unsustainable longer hours on 5/7/2020. </w:t>
      </w:r>
    </w:p>
    <w:p w:rsidR="00000000" w:rsidDel="00000000" w:rsidP="00000000" w:rsidRDefault="00000000" w:rsidRPr="00000000" w14:paraId="000002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April and July 2020, multiple teams including FinTech collaborated to close Q1 and Q2 while working from home. Although unprecedented and unrehearsed, Accounting orchestrated a repeatable virtual close which will continue into 2021. On 4/20/2020, FinTech deployed a control to avoid over-payment of $5.53MM for critical vendor pre-payments not adjusted to vendor invoices. On 5/31/2020, we deployed a business continuity alternative for in-house printing for Wells Fargo (US) and HSBC (Canada) to print checks. On 8/31/2020, we automated the quarterly debit balance process to reduce outstanding debit balance for NA and select EU countries against payables due in the next 90 days by $64MM for the top 100 Retail vendors.</w:t>
      </w:r>
    </w:p>
    <w:p w:rsidR="00000000" w:rsidDel="00000000" w:rsidP="00000000" w:rsidRDefault="00000000" w:rsidRPr="00000000" w14:paraId="0000025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288" w:right="144" w:hanging="274"/>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FinTech doing in 2021 for Operational Excellence (OE)?</w:t>
      </w:r>
    </w:p>
    <w:p w:rsidR="00000000" w:rsidDel="00000000" w:rsidP="00000000" w:rsidRDefault="00000000" w:rsidRPr="00000000" w14:paraId="000002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2021, we will define and track OE goals for each team. We will review these goals in weekly operational excellence metrics reviews and monthly tech metrics reviews. We will use metrics to prioritize work that impacts customers and improves engineers’ productivity. OE goals will target both existing and new services.</w:t>
      </w:r>
    </w:p>
    <w:p w:rsidR="00000000" w:rsidDel="00000000" w:rsidP="00000000" w:rsidRDefault="00000000" w:rsidRPr="00000000" w14:paraId="000002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existing services, we will focus on acknowledgment and action for policy engine violations, GRC violations, and trouble tickets with increased velocity to ensure smooth operations within defined service level agreements. For new services, we will institutionalize an operational readiness review process. Operational readiness will ensure all new services have the right infrastructure, instrumentation, alarms, run books, automated testing, and deployments. </w:t>
      </w:r>
    </w:p>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 w:right="144" w:hanging="274"/>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will use the existing FinTech engineering excellence program (Level Up) as a mechanism to measure and motivate teams to implement and maintain engineering best practices. Each team will take on a level-up goal to achieve at least one level higher.</w:t>
      </w:r>
    </w:p>
    <w:sectPr>
      <w:headerReference r:id="rId7" w:type="default"/>
      <w:headerReference r:id="rId8" w:type="first"/>
      <w:footerReference r:id="rId9" w:type="default"/>
      <w:footerReference r:id="rId10" w:type="first"/>
      <w:pgSz w:h="15840" w:w="12240" w:orient="portrait"/>
      <w:pgMar w:bottom="864" w:top="1152" w:left="864" w:right="720" w:header="576" w:footer="432"/>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mazon Ember Medium"/>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10"/>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October 1, 2020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Amazon Confidential</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10"/>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October 1, 2020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Amazon Confidential</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30j0zll" w:id="1"/>
  <w:bookmarkEnd w:id="1"/>
  <w:bookmarkStart w:colFirst="0" w:colLast="0" w:name="1fob9te" w:id="2"/>
  <w:bookmarkEnd w:id="2"/>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rightMargin">
            <wp:posOffset>-889634</wp:posOffset>
          </wp:positionH>
          <wp:positionV relativeFrom="topMargin">
            <wp:posOffset>251460</wp:posOffset>
          </wp:positionV>
          <wp:extent cx="877570" cy="365760"/>
          <wp:effectExtent b="0" l="0" r="0" t="0"/>
          <wp:wrapSquare wrapText="bothSides" distB="0" distT="0" distL="0" distR="0"/>
          <wp:docPr descr="/Users/grantwc/Downloads/01_ft_internal_logo_default_1@2x.png" id="3" name="image1.png"/>
          <a:graphic>
            <a:graphicData uri="http://schemas.openxmlformats.org/drawingml/2006/picture">
              <pic:pic>
                <pic:nvPicPr>
                  <pic:cNvPr descr="/Users/grantwc/Downloads/01_ft_internal_logo_default_1@2x.png" id="0" name="image1.png"/>
                  <pic:cNvPicPr preferRelativeResize="0"/>
                </pic:nvPicPr>
                <pic:blipFill>
                  <a:blip r:embed="rId1"/>
                  <a:srcRect b="0" l="0" r="0" t="0"/>
                  <a:stretch>
                    <a:fillRect/>
                  </a:stretch>
                </pic:blipFill>
                <pic:spPr>
                  <a:xfrm>
                    <a:off x="0" y="0"/>
                    <a:ext cx="877570" cy="36576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Finance Technology 2021 OP1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rightMargin">
            <wp:posOffset>-850264</wp:posOffset>
          </wp:positionH>
          <wp:positionV relativeFrom="topMargin">
            <wp:posOffset>294508</wp:posOffset>
          </wp:positionV>
          <wp:extent cx="877824" cy="365760"/>
          <wp:effectExtent b="0" l="0" r="0" t="0"/>
          <wp:wrapSquare wrapText="bothSides" distB="0" distT="0" distL="0" distR="0"/>
          <wp:docPr descr="/Users/grantwc/Downloads/01_ft_internal_logo_default_1@2x.png" id="1" name="image1.png"/>
          <a:graphic>
            <a:graphicData uri="http://schemas.openxmlformats.org/drawingml/2006/picture">
              <pic:pic>
                <pic:nvPicPr>
                  <pic:cNvPr descr="/Users/grantwc/Downloads/01_ft_internal_logo_default_1@2x.png" id="0" name="image1.png"/>
                  <pic:cNvPicPr preferRelativeResize="0"/>
                </pic:nvPicPr>
                <pic:blipFill>
                  <a:blip r:embed="rId1"/>
                  <a:srcRect b="0" l="0" r="0" t="0"/>
                  <a:stretch>
                    <a:fillRect/>
                  </a:stretch>
                </pic:blipFill>
                <pic:spPr>
                  <a:xfrm>
                    <a:off x="0" y="0"/>
                    <a:ext cx="877824" cy="3657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74"/>
      </w:pPr>
      <w:rPr>
        <w:b w:val="0"/>
        <w:bCs w:val="0"/>
        <w:i w:val="0"/>
        <w:iCs w:val="0"/>
        <w:sz w:val="20"/>
        <w:szCs w:val="20"/>
      </w:rPr>
    </w:lvl>
    <w:lvl w:ilvl="1">
      <w:start w:val="1"/>
      <w:numFmt w:val="decimal"/>
      <w:lvlText w:val="(%2)."/>
      <w:lvlJc w:val="left"/>
      <w:pPr>
        <w:ind w:left="864" w:hanging="417.9999999999999"/>
      </w:pPr>
      <w:rPr/>
    </w:lvl>
    <w:lvl w:ilvl="2">
      <w:start w:val="1"/>
      <w:numFmt w:val="decimal"/>
      <w:lvlText w:val="(%3)."/>
      <w:lvlJc w:val="left"/>
      <w:pPr>
        <w:ind w:left="1296" w:hanging="418"/>
      </w:pPr>
      <w:rPr>
        <w:color w:val="191919"/>
      </w:rPr>
    </w:lvl>
    <w:lvl w:ilvl="3">
      <w:start w:val="1"/>
      <w:numFmt w:val="decimal"/>
      <w:lvlText w:val="(%4)."/>
      <w:lvlJc w:val="left"/>
      <w:pPr>
        <w:ind w:left="1728" w:hanging="418"/>
      </w:pPr>
      <w:rPr>
        <w:color w:val="191919"/>
      </w:rPr>
    </w:lvl>
    <w:lvl w:ilvl="4">
      <w:start w:val="1"/>
      <w:numFmt w:val="decimal"/>
      <w:lvlText w:val="(%5)."/>
      <w:lvlJc w:val="left"/>
      <w:pPr>
        <w:ind w:left="2160" w:hanging="418"/>
      </w:pPr>
      <w:rPr>
        <w:color w:val="191919"/>
      </w:rPr>
    </w:lvl>
    <w:lvl w:ilvl="5">
      <w:start w:val="1"/>
      <w:numFmt w:val="decimal"/>
      <w:lvlText w:val="(%6)."/>
      <w:lvlJc w:val="left"/>
      <w:pPr>
        <w:ind w:left="2592" w:hanging="418"/>
      </w:pPr>
      <w:rPr/>
    </w:lvl>
    <w:lvl w:ilvl="6">
      <w:start w:val="1"/>
      <w:numFmt w:val="decimal"/>
      <w:lvlText w:val="(%7)."/>
      <w:lvlJc w:val="left"/>
      <w:pPr>
        <w:ind w:left="3024" w:hanging="418.00000000000045"/>
      </w:pPr>
      <w:rPr/>
    </w:lvl>
    <w:lvl w:ilvl="7">
      <w:start w:val="1"/>
      <w:numFmt w:val="decimal"/>
      <w:lvlText w:val="(%8)."/>
      <w:lvlJc w:val="left"/>
      <w:pPr>
        <w:ind w:left="3456" w:hanging="418"/>
      </w:pPr>
      <w:rPr/>
    </w:lvl>
    <w:lvl w:ilvl="8">
      <w:start w:val="1"/>
      <w:numFmt w:val="decimal"/>
      <w:lvlText w:val="(%9)."/>
      <w:lvlJc w:val="left"/>
      <w:pPr>
        <w:ind w:left="3888" w:hanging="418"/>
      </w:pPr>
      <w:rPr/>
    </w:lvl>
  </w:abstractNum>
  <w:abstractNum w:abstractNumId="2">
    <w:lvl w:ilvl="0">
      <w:start w:val="1"/>
      <w:numFmt w:val="decimal"/>
      <w:lvlText w:val="%1."/>
      <w:lvlJc w:val="left"/>
      <w:pPr>
        <w:ind w:left="288" w:hanging="274"/>
      </w:pPr>
      <w:rPr>
        <w:b w:val="0"/>
        <w:bCs w:val="0"/>
        <w:i w:val="0"/>
        <w:iCs w:val="0"/>
        <w:sz w:val="20"/>
        <w:szCs w:val="20"/>
      </w:rPr>
    </w:lvl>
    <w:lvl w:ilvl="1">
      <w:start w:val="1"/>
      <w:numFmt w:val="decimal"/>
      <w:lvlText w:val="(%2)."/>
      <w:lvlJc w:val="left"/>
      <w:pPr>
        <w:ind w:left="864" w:hanging="417.9999999999999"/>
      </w:pPr>
      <w:rPr/>
    </w:lvl>
    <w:lvl w:ilvl="2">
      <w:start w:val="1"/>
      <w:numFmt w:val="decimal"/>
      <w:lvlText w:val="(%3)."/>
      <w:lvlJc w:val="left"/>
      <w:pPr>
        <w:ind w:left="1296" w:hanging="418"/>
      </w:pPr>
      <w:rPr>
        <w:color w:val="191919"/>
      </w:rPr>
    </w:lvl>
    <w:lvl w:ilvl="3">
      <w:start w:val="1"/>
      <w:numFmt w:val="decimal"/>
      <w:lvlText w:val="(%4)."/>
      <w:lvlJc w:val="left"/>
      <w:pPr>
        <w:ind w:left="1728" w:hanging="418"/>
      </w:pPr>
      <w:rPr>
        <w:color w:val="191919"/>
      </w:rPr>
    </w:lvl>
    <w:lvl w:ilvl="4">
      <w:start w:val="1"/>
      <w:numFmt w:val="decimal"/>
      <w:lvlText w:val="(%5)."/>
      <w:lvlJc w:val="left"/>
      <w:pPr>
        <w:ind w:left="2160" w:hanging="418"/>
      </w:pPr>
      <w:rPr>
        <w:color w:val="191919"/>
      </w:rPr>
    </w:lvl>
    <w:lvl w:ilvl="5">
      <w:start w:val="1"/>
      <w:numFmt w:val="decimal"/>
      <w:lvlText w:val="(%6)."/>
      <w:lvlJc w:val="left"/>
      <w:pPr>
        <w:ind w:left="2592" w:hanging="418"/>
      </w:pPr>
      <w:rPr/>
    </w:lvl>
    <w:lvl w:ilvl="6">
      <w:start w:val="1"/>
      <w:numFmt w:val="decimal"/>
      <w:lvlText w:val="(%7)."/>
      <w:lvlJc w:val="left"/>
      <w:pPr>
        <w:ind w:left="3024" w:hanging="418.00000000000045"/>
      </w:pPr>
      <w:rPr/>
    </w:lvl>
    <w:lvl w:ilvl="7">
      <w:start w:val="1"/>
      <w:numFmt w:val="decimal"/>
      <w:lvlText w:val="(%8)."/>
      <w:lvlJc w:val="left"/>
      <w:pPr>
        <w:ind w:left="3456" w:hanging="418"/>
      </w:pPr>
      <w:rPr/>
    </w:lvl>
    <w:lvl w:ilvl="8">
      <w:start w:val="1"/>
      <w:numFmt w:val="decimal"/>
      <w:lvlText w:val="(%9)."/>
      <w:lvlJc w:val="left"/>
      <w:pPr>
        <w:ind w:left="3888" w:hanging="418"/>
      </w:pPr>
      <w:rPr/>
    </w:lvl>
  </w:abstractNum>
  <w:abstractNum w:abstractNumId="3">
    <w:lvl w:ilvl="0">
      <w:start w:val="1"/>
      <w:numFmt w:val="decimal"/>
      <w:lvlText w:val="%1."/>
      <w:lvlJc w:val="left"/>
      <w:pPr>
        <w:ind w:left="408" w:hanging="360"/>
      </w:pPr>
      <w:rPr/>
    </w:lvl>
    <w:lvl w:ilvl="1">
      <w:start w:val="1"/>
      <w:numFmt w:val="lowerLetter"/>
      <w:lvlText w:val="%2."/>
      <w:lvlJc w:val="left"/>
      <w:pPr>
        <w:ind w:left="1128" w:hanging="360"/>
      </w:pPr>
      <w:rPr/>
    </w:lvl>
    <w:lvl w:ilvl="2">
      <w:start w:val="1"/>
      <w:numFmt w:val="lowerRoman"/>
      <w:lvlText w:val="%3."/>
      <w:lvlJc w:val="right"/>
      <w:pPr>
        <w:ind w:left="1848" w:hanging="180"/>
      </w:pPr>
      <w:rPr/>
    </w:lvl>
    <w:lvl w:ilvl="3">
      <w:start w:val="1"/>
      <w:numFmt w:val="decimal"/>
      <w:lvlText w:val="%4."/>
      <w:lvlJc w:val="left"/>
      <w:pPr>
        <w:ind w:left="2568" w:hanging="360"/>
      </w:pPr>
      <w:rPr/>
    </w:lvl>
    <w:lvl w:ilvl="4">
      <w:start w:val="1"/>
      <w:numFmt w:val="lowerLetter"/>
      <w:lvlText w:val="%5."/>
      <w:lvlJc w:val="left"/>
      <w:pPr>
        <w:ind w:left="3288" w:hanging="360"/>
      </w:pPr>
      <w:rPr/>
    </w:lvl>
    <w:lvl w:ilvl="5">
      <w:start w:val="1"/>
      <w:numFmt w:val="lowerRoman"/>
      <w:lvlText w:val="%6."/>
      <w:lvlJc w:val="right"/>
      <w:pPr>
        <w:ind w:left="4008" w:hanging="180"/>
      </w:pPr>
      <w:rPr/>
    </w:lvl>
    <w:lvl w:ilvl="6">
      <w:start w:val="1"/>
      <w:numFmt w:val="decimal"/>
      <w:lvlText w:val="%7."/>
      <w:lvlJc w:val="left"/>
      <w:pPr>
        <w:ind w:left="4728" w:hanging="360"/>
      </w:pPr>
      <w:rPr/>
    </w:lvl>
    <w:lvl w:ilvl="7">
      <w:start w:val="1"/>
      <w:numFmt w:val="lowerLetter"/>
      <w:lvlText w:val="%8."/>
      <w:lvlJc w:val="left"/>
      <w:pPr>
        <w:ind w:left="5448" w:hanging="360"/>
      </w:pPr>
      <w:rPr/>
    </w:lvl>
    <w:lvl w:ilvl="8">
      <w:start w:val="1"/>
      <w:numFmt w:val="lowerRoman"/>
      <w:lvlText w:val="%9."/>
      <w:lvlJc w:val="right"/>
      <w:pPr>
        <w:ind w:left="616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pPr>
    <w:rPr>
      <w:b w:val="1"/>
      <w:bCs w:val="1"/>
      <w:u w:val="single"/>
    </w:rPr>
  </w:style>
  <w:style w:type="paragraph" w:styleId="Heading2">
    <w:name w:val="heading 2"/>
    <w:basedOn w:val="Normal"/>
    <w:next w:val="Normal"/>
    <w:pPr>
      <w:keepNext w:val="1"/>
      <w:spacing w:after="0" w:before="120" w:lineRule="auto"/>
      <w:ind w:firstLine="360"/>
    </w:pPr>
    <w:rPr>
      <w:u w:val="single"/>
    </w:rPr>
  </w:style>
  <w:style w:type="paragraph" w:styleId="Heading3">
    <w:name w:val="heading 3"/>
    <w:basedOn w:val="Normal"/>
    <w:next w:val="Normal"/>
    <w:pPr>
      <w:keepNext w:val="1"/>
      <w:spacing w:after="0" w:lineRule="auto"/>
    </w:pPr>
    <w:rPr>
      <w:u w:val="single"/>
    </w:rPr>
  </w:style>
  <w:style w:type="paragraph" w:styleId="Heading4">
    <w:name w:val="heading 4"/>
    <w:basedOn w:val="Normal"/>
    <w:next w:val="Normal"/>
    <w:pPr>
      <w:keepNext w:val="1"/>
      <w:spacing w:after="0" w:lineRule="auto"/>
      <w:ind w:left="547"/>
    </w:pPr>
    <w:rPr>
      <w:u w:val="single"/>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pBdr>
        <w:top w:color="dcf8f4" w:space="1" w:sz="12" w:val="single"/>
        <w:left w:color="dcf8f4" w:space="3" w:sz="12" w:val="single"/>
        <w:bottom w:color="dcf8f4" w:space="1" w:sz="12" w:val="single"/>
        <w:right w:color="dcf8f4" w:space="3" w:sz="12" w:val="single"/>
      </w:pBdr>
      <w:shd w:fill="dcf8f4" w:val="clear"/>
      <w:spacing w:after="360" w:before="240" w:lineRule="auto"/>
    </w:pPr>
    <w:rPr>
      <w:rFonts w:ascii="Amazon Ember Medium" w:cs="Amazon Ember Medium" w:eastAsia="Amazon Ember Medium" w:hAnsi="Amazon Ember Medium"/>
      <w:color w:val="232f3e"/>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0x0101008F4ED5233E8BB74DB24D4999C8DD5E9A</vt:lpwstr>
  </property>
</Properties>
</file>