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Finance Technology Three-Year Plan (2022 – 2024)July 22, 2021</w:t>
      </w:r>
    </w:p>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Finance Technology’s (FinTech) charter is to enable Finance &amp; Global Business Services (FGBS) teams, and amplify the benefit of FGBS teams to support the growth, expansion, and restructuring of the businesses. We are in the unique position to look across FGBS and provide integrated solutions that satisfy the needs of multiple teams at once. This document describes our three-year plan (3YP). See the appendix for our three-year headcount plan, frequently asked questions, changes from our 2020 3YP, and FinTech initiatives that require customer support.</w:t>
      </w:r>
    </w:p>
    <w:p w:rsidR="00000000" w:rsidDel="00000000" w:rsidP="00000000" w:rsidRDefault="00000000" w:rsidRPr="00000000" w14:paraId="00000003">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Vision </w:t>
      </w:r>
    </w:p>
    <w:p w:rsidR="00000000" w:rsidDel="00000000" w:rsidP="00000000" w:rsidRDefault="00000000" w:rsidRPr="00000000" w14:paraId="00000004">
      <w:pPr>
        <w:rPr/>
      </w:pPr>
      <w:r w:rsidDel="00000000" w:rsidR="00000000" w:rsidRPr="00000000">
        <w:rPr>
          <w:rtl w:val="0"/>
        </w:rPr>
        <w:t xml:space="preserve">FinTech builds and operates technology solutions or third-party applications to pay beneficiaries, collect from customers, enable business growth, comply with regulatory obligations, and provide insights from financial data. We innovate on behalf of our stakeholders and customers to provide technical solutions that process billions of financial events daily. We leverage technology to automate and simplify, maximizing the time spent by FGBS on high value activities, and eliminating the need to add people at our growth rate.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Tenets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(unless you know better ones)</w:t>
      </w: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top priority is controllership. We ensure accuracy and safeguard access to our financial and customer data.</w:t>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set high standards for confidentiality, integrity, availability, and security of applications. We verify that the external partners we interact with meet Amazon’s standards.</w:t>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innovate and simplify on behalf of our stakeholders and customers. We design self-service solutions to delight our customers by delivering capabilities that enable FGBS to fulfill financial commitments and generate actionable insights. </w:t>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808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are entrepreneurial and build scalable solutions using AWS technologies. We believe that in the long-term, Amazon’s needs will outpace capabilities provided by third-party solutions, and business ambition must not be constrained by technology.</w:t>
      </w:r>
      <w:r w:rsidDel="00000000" w:rsidR="00000000" w:rsidRPr="00000000">
        <w:rPr>
          <w:rtl w:val="0"/>
        </w:rPr>
      </w:r>
    </w:p>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808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build reusable, consistent, highly available services with minimal operational load, delivering a better customer experience while improving developer productivity.</w:t>
      </w:r>
      <w:r w:rsidDel="00000000" w:rsidR="00000000" w:rsidRPr="00000000">
        <w:rPr>
          <w:rtl w:val="0"/>
        </w:rPr>
      </w:r>
    </w:p>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invest in employee development and collaboration. We encourage diversity of thinking and seek people with different backgrounds. We recognize and celebrate the distinctive cultural perspectives of our employees.</w:t>
      </w:r>
    </w:p>
    <w:p w:rsidR="00000000" w:rsidDel="00000000" w:rsidP="00000000" w:rsidRDefault="00000000" w:rsidRPr="00000000" w14:paraId="0000000C">
      <w:pPr>
        <w:keepNext w:val="1"/>
        <w:keepLines w:val="1"/>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Trends</w:t>
      </w:r>
    </w:p>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999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Accelerating transaction volume growth (61.4MM receivables invoices in 2021 to 177.6MM in 2024 is a 42.5% CAGR, 37MM payments in 2021 to 68MM in 2024 is a 22.5% CAGR) and expansions will require businesses to leverage common transaction processing and analytics solutions that scale without linear growth in headcount. Receivables growth forecast accelerated from 17.5% 2020-2023 CAGR to 42.5% 2021-2024 CAGR. Year-on-year growth in payments (32.2% from 28MM to 37MM 2021 R&amp;O) and fixed assets (56% from $77.8B to $121.5B 2021 Q1) exceeded last year’s forecast (payments 18.6%, fixed assets 27%). Intercompany settlements grew 98.5% year-on-year from $137B to $272B 2021 Q1. </w:t>
      </w:r>
    </w:p>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999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a multi-year approach to replace OFA, we continue to extend the current packaged application while simultaneously building more scalable and loosely coupled micro-services. Regulatory changes and customer needs, including data residency, e-Invoicing, netting, and data lineage, show we can deliver solutions more rapidly when we control the intellectual property. We will continue to enable business partners as builders and creators using self-service rules engines, guardrails, and configurable frameworks for record-to-report financial processes. The OFA General Ledger (GL) and subsidiary ledgers provide scale for the near future.</w:t>
      </w:r>
    </w:p>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999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 beneficiaries value faster payments, especially gig-economy workers and small businesses. COVID-19 fast-tracked alternative payments and remittance adoption. Financial interactions will become multi-faceted as suppliers evolve into selling partners, service providers, and customers with relationships across businesses, geographies, and legal entities.</w:t>
      </w:r>
    </w:p>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Capital reallocation is a disruptive lever Amazon embraced, from retail with fulfillment centers to web services with data center infrastructure. The cycle continues with fleet ownership (aircraft, delivery vehicles, robots, and satellites), physical stores, and co-mingled infrastructure in customer data centers (Outposts). Buy-sell, amortization, construction tracking, and asset transfers indicate we reached the limits of third-party packaged software. Capital reallocation between regions will accelerate with bank structure, automated forecasts, and on-behalf-of structures, enabling the optimization of free cash flow. </w:t>
      </w:r>
    </w:p>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Requests for financial information are increasing as Amazon grows and attracts attention from diverse stakeholders. Demands vary across geographies and evolve as local regulators digitize interactions. With new businesses, workforce growth, changing liability and regulatory requirements, Amazon’s risk profile is evolving. Governments seeking tax revenue offer short compliance windows with potential extreme outcomes. Amazon collected and remitted more than 17.8K compliance filings in Q1 2021. Our ability to comply rapidly when onboarding new businesses is important to retain stakeholder trust and avoid detours from our vision.</w:t>
      </w:r>
    </w:p>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Customers are increasingly aware that their financial information is valuable and are demanding transparency and control. Governments will implement more legislation to ensure Amazon stewards financial data consistently, securely, and follows local know your customer, privacy, anti-money laundering, and data residency requirements.</w:t>
      </w:r>
    </w:p>
    <w:p w:rsidR="00000000" w:rsidDel="00000000" w:rsidP="00000000" w:rsidRDefault="00000000" w:rsidRPr="00000000" w14:paraId="00000013">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Three-Year Investment Areas</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next three years, FinTech will invest in the following areas to anticipate the growth and compliance challenges articulated above. More detailed three-page documents for each investment area are available as reference documents. The investment areas are not ordered in a priority order.</w:t>
      </w:r>
    </w:p>
    <w:p w:rsidR="00000000" w:rsidDel="00000000" w:rsidP="00000000" w:rsidRDefault="00000000" w:rsidRPr="00000000" w14:paraId="00000015">
      <w:pPr>
        <w:rPr>
          <w:rFonts w:ascii="Calibri" w:cs="Calibri" w:eastAsia="Calibri" w:hAnsi="Calibri"/>
        </w:rPr>
      </w:pPr>
      <w:r w:rsidDel="00000000" w:rsidR="00000000" w:rsidRPr="00000000">
        <w:rPr>
          <w:b w:val="1"/>
          <w:bCs w:val="1"/>
          <w:sz w:val="20"/>
          <w:szCs w:val="20"/>
          <w:rtl w:val="0"/>
        </w:rPr>
        <w:t xml:space="preserve">Receivables.</w:t>
      </w:r>
      <w:r w:rsidDel="00000000" w:rsidR="00000000" w:rsidRPr="00000000">
        <w:rPr>
          <w:rtl w:val="0"/>
        </w:rPr>
        <w:t xml:space="preserve"> </w:t>
      </w:r>
      <w:r w:rsidDel="00000000" w:rsidR="00000000" w:rsidRPr="00000000">
        <w:rPr>
          <w:rFonts w:ascii="Calibri" w:cs="Calibri" w:eastAsia="Calibri" w:hAnsi="Calibri"/>
          <w:rtl w:val="0"/>
        </w:rPr>
        <w:t xml:space="preserve">FinTech builds, extends, and maintains technology solutions for the Accounts Receivable (AR) invoice-to-cash process. We will recognize revenue of $128B in 2021 for 59 business channels, including AWS, contra-COGS, and Advertising. We will generate 53.7MM customer invoices and integrate with 13 banks, receiving cash in 51 countries. We expect revenue to grow to $260.3B in 2024. Improving automated cash application first pass yield to 98%, integrating with Cimarron’s AR subledger to reduce the workload in OFA, and providing efficiency gains in OFA, are the key </w:t>
      </w:r>
      <w:r w:rsidDel="00000000" w:rsidR="00000000" w:rsidRPr="00000000">
        <w:rPr>
          <w:rtl w:val="0"/>
        </w:rPr>
        <w:t xml:space="preserve">drivers for our three-year investments in this area. </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rtl w:val="0"/>
        </w:rPr>
        <w:t xml:space="preserve">Since last year’s 3YP, eCommerce Financial Integration (eCFI), FinTech, FinAuto, and FinOps defined an AR convergence strategy to eliminate OFA AR and deliver a unified receivables solution in 2025. With the AR convergence, eCFI’s Cimarron will be the billing authority and FinTech’s Cash Identification and Matching Service (CIMS) will be the cash authority. Both eCFI and FinTech will extend their systems to support all of Amazon’s AR needs. In 2020, FinTech launched CIMS in a shadow mode to process cash receipts. In April 2021, CIMS processed 50% (43.9K out of 87.8K) of the cash receipts processed, achieving 96.4% parity with OFA’s automatic cash application first past yield. By the end of 2022, CIMS will replace OFA and become the primary cash authority. We will engage with the eCFI team to bridge Cimarron-based cash application capabilities that were built explicitly for Amazon Business and enable CIMS to apply cash for Amazon Business and other business channels in 2023. While we extend CIMS, we will also improve the cash application’s first pass yield from 90% in 2021 to 98% by 2024 by working with banks to provide consistent remittance information and leveraging machine learning to match remittances to invoices. </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rtl w:val="0"/>
        </w:rPr>
        <w:t xml:space="preserve">We will build services for other receivables functions, including billing integrations with business systems and manual invoice processing for small businesses using Billing Hub. We will deliver a configurable capability in Billing Hub to route the transactional data to either OFA or Cimarron and enable self-service for tax calculations and onboarding new businesses. Our short-term investments in Billing Hub will address OFA AR’s current scaling challenges during month-end peak loads by decoupling invoice pre-processing capabilities of large-sized businesses, including AWS from OFA. We will build a centralized authority balance transfers service that will own the transfer of balances from Amazon’s Receivable subledger to the Payable subledger. This service will identify opportunities to deduct from payment across Teller and OFA Accounts Payable (AP). </w:t>
      </w:r>
      <w:r w:rsidDel="00000000" w:rsidR="00000000" w:rsidRPr="00000000">
        <w:rPr>
          <w:rtl w:val="0"/>
        </w:rPr>
      </w:r>
    </w:p>
    <w:p w:rsidR="00000000" w:rsidDel="00000000" w:rsidP="00000000" w:rsidRDefault="00000000" w:rsidRPr="00000000" w14:paraId="00000018">
      <w:pPr>
        <w:keepLines w:val="1"/>
        <w:rPr/>
      </w:pPr>
      <w:r w:rsidDel="00000000" w:rsidR="00000000" w:rsidRPr="00000000">
        <w:rPr>
          <w:b w:val="1"/>
          <w:bCs w:val="1"/>
          <w:sz w:val="20"/>
          <w:szCs w:val="20"/>
          <w:rtl w:val="0"/>
        </w:rPr>
        <w:t xml:space="preserve">Treasury.</w:t>
      </w:r>
      <w:r w:rsidDel="00000000" w:rsidR="00000000" w:rsidRPr="00000000">
        <w:rPr>
          <w:rtl w:val="0"/>
        </w:rPr>
        <w:t xml:space="preserve"> FinTech builds technology solutions for Treasury to manage cash and financial risks for Amazon. As of 2021, Treasury manages over 2.5K bank accounts with more than $84B in cash. Treasury also manages Amazon’s financial risk by establishing and operating insurance programs for all company assets and employees. We partner with Treasury Tech to jointly deliver solutions, with FinTech responsible for a centralized data platform, machine learning based forecasting, and applications to improve controllership. Ensuring global liquidity, maximizing investment returns on unused capital, reducing fees, improving controllership, and automating manual-driven tasks are the key drivers for our three-year investments in this area.</w:t>
      </w:r>
    </w:p>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will partner with Treasury to establish a Global Treasury Center (GTC), a key Treasury initiative, to centrally manage liquidity and FX globally. We will enable GTC by continuing to invest in a centralized data platform, bringing over 30 different datasets from across banking and risk management to Treasury. This data platform will enable the new Treasury Management System, Quantum, to integrate with systems across FGBS, including Accounting, Payments, and Receivables, reducing manual efforts, driving settlement activities, and enabling on-behalf-of structures.</w:t>
      </w:r>
    </w:p>
    <w:p w:rsidR="00000000" w:rsidDel="00000000" w:rsidP="00000000" w:rsidRDefault="00000000" w:rsidRPr="00000000" w14:paraId="0000001A">
      <w:pPr>
        <w:keepLines w:val="1"/>
        <w:rPr/>
      </w:pPr>
      <w:r w:rsidDel="00000000" w:rsidR="00000000" w:rsidRPr="00000000">
        <w:rPr>
          <w:rtl w:val="0"/>
        </w:rPr>
        <w:t xml:space="preserve">In 2021, we launched ten US entity-level daily cash forecasts that led to the identification of $2B of investable cash, pending legal review and approval. To ensure global liquidity for Amazon, we will continue to invest in machine learning to further improve and scale forecasts to all regions and entities. Integrating the GTC, forecast, and on-behalf-of structures will allow us to optimize cash balances while taking into account fees, transfer times, FX rates, commercial paper, and investments.</w:t>
      </w:r>
    </w:p>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leveraged our centralized data platform in 2021 to launch the first phase of the third-party risk and claims management application (Origami). Origami eliminates controllership risk from manual and semi-automated processes. The initial launch is estimated to save 40K hours annually for the Global Risk Management and Claims organization. We will continue investing in this data platform to enable the next phases to be launched and to enable Treasury to build in-house solutions in the future. We launched a tool in 2021 to detect employee termination and transfers, closing a security and controllership risk from using 55+ global banking portals. We will continue to extend this tool by automating access control at the bank and transition users who do not need portal access to the centralized data platform.</w:t>
      </w:r>
    </w:p>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builds, extends, and maintains technology solutions for the AP invoice-to-pay process. Our primary goal is to pay beneficiaries the right amount at the right time, using their preferred payment method while providing accurate accounting and regulatory compliance. In 2021, we will pay 3.5MM beneficiaries $470B in 37MM payments. By 2024, we will pay 5.7MM beneficiaries $960B in 68MM payments and 476MM invoices, a 22.5% CAGR. Improving the payee experience, reducing operational inefficiencies and manual processes, and reducing our reliance on OFA to scale for business growth are the key drivers for our three-year investments in this area.</w:t>
      </w:r>
    </w:p>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enhance the payee's experience, we enabled faster payments in India, Singapore, and Mexico in 2021. To meet the needs of our increasingly diverse payee population, we will continue to enable faster and alternate payment options in other geographies. To improve the payment success rate from 99.5% to 99.75%, we will invest in Litmus account validation service and Atlas payment method and rules repository. We launched Litmus in five countries (60% of global payments) in 2021, and will expand to all global payments. By 2023, we will deliver Atlas to enable effortless onboarding to new payment options and validation services with payee onboarding portals. This will accelerate our time to market and allow us to collect accurate and complete payee data. We will also build plug-and-play payment tracking widgets for portals to provide real-time payment visibility. To optimize speed and cost, we will offer smart payment routing capabilities, including pay-on-behalf-of structures.</w:t>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FinOps and business users face significant operational challenges and rely on manual processes. In the trailing 12 months, FinOps manually processed over 0.14% (42K) of all payments and 8% (15K) of all rejections. We will continue to invest in integration to reduce manual payments and automated rejection handling. We will continue to improve operational tools for better payment batch scheduling, end-to-end process visibility, triaging, reporting, and self-directed issue resolution. By 2024, FinOps will prevent and/or recover $1B in internal employee and external vendor theft, fraud, abuse, and waste. This is a 300% increase over the 2020 CFO goal of $250M. We will continue to invest in mechanisms to detect erroneous and duplicate invoices, while extending capabilities to identify employee and vendor fraud. We will utilize Treasury’s GTC to enable pay-on-behalf-of capabilities. We will also invest in making our systems more resilient and building capabilities for detecting and mitigating disruptions in our internal and banking partner systems.</w:t>
      </w:r>
    </w:p>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continue to reduce our reliance on OFA by decoupling our OFA AP capabilities and building on AWS. In 2019, we decoupled payment transmission functions from OFA with FinPay. In the next three years, we will migrate the core AP workload, except Retail business, from OFA to Teller. In 2021, we will onboard Digital Merchandise US and Transportation UK third-party to Teller. We will improve the payee experience through enhancements to payment deviation detection, elimination of batch schedule overhead, and adherence to compliance requirements with invoice line item data. We will build the Teller and FinPay micro service architecture to allow subsidiaries to choose services and integrate at different levels without the need for a big-bang integration.</w:t>
      </w:r>
    </w:p>
    <w:p w:rsidR="00000000" w:rsidDel="00000000" w:rsidP="00000000" w:rsidRDefault="00000000" w:rsidRPr="00000000" w14:paraId="00000020">
      <w:pPr>
        <w:rPr>
          <w:rFonts w:ascii="Calibri" w:cs="Calibri" w:eastAsia="Calibri" w:hAnsi="Calibri"/>
        </w:rPr>
      </w:pPr>
      <w:r w:rsidDel="00000000" w:rsidR="00000000" w:rsidRPr="00000000">
        <w:rPr>
          <w:b w:val="1"/>
          <w:bCs w:val="1"/>
          <w:sz w:val="20"/>
          <w:szCs w:val="20"/>
          <w:rtl w:val="0"/>
        </w:rPr>
        <w:t xml:space="preserve">Fixed Assets.</w:t>
      </w:r>
      <w:r w:rsidDel="00000000" w:rsidR="00000000" w:rsidRPr="00000000">
        <w:rPr>
          <w:rtl w:val="0"/>
        </w:rPr>
        <w:t xml:space="preserve"> </w:t>
      </w:r>
      <w:r w:rsidDel="00000000" w:rsidR="00000000" w:rsidRPr="00000000">
        <w:rPr>
          <w:rFonts w:ascii="Calibri" w:cs="Calibri" w:eastAsia="Calibri" w:hAnsi="Calibri"/>
          <w:rtl w:val="0"/>
        </w:rPr>
        <w:t xml:space="preserve">FinTech creates and maintains solutions to manage Fixed Assets from creation through retirement. As of Q1 2021, </w:t>
      </w:r>
      <w:r w:rsidDel="00000000" w:rsidR="00000000" w:rsidRPr="00000000">
        <w:rPr>
          <w:rtl w:val="0"/>
        </w:rPr>
        <w:t xml:space="preserve">Fixed Assets are $121.5B and growing 56% YoY. In July 2020, we finalized our Fixed Asset Automation approach to replace the OFA Fixed Assets module with an in-house solution. We will build the Data Collection, Correction, &amp; Categorization (DC3), construction in progress (CIP) service date tracking, and Capex Asset Tracker (CAT) minimum lovable products by Q4 2021. The CIP tool will address four of nine significant CapEx and leasing financial statement errors related to timely recognition of assets identified as “significant deficiency” in 2020.  In parallel, we continue to deliver on existing and new initiatives in OFA. </w:t>
      </w:r>
      <w:r w:rsidDel="00000000" w:rsidR="00000000" w:rsidRPr="00000000">
        <w:rPr>
          <w:rFonts w:ascii="Calibri" w:cs="Calibri" w:eastAsia="Calibri" w:hAnsi="Calibri"/>
          <w:rtl w:val="0"/>
        </w:rPr>
        <w:t xml:space="preserve">Since our last 3YP, we delivered AWS Outpost, AWS Useful Life Changes, Coupa Commodity correction automation, and optimizations to scale for growth.</w:t>
      </w:r>
    </w:p>
    <w:p w:rsidR="00000000" w:rsidDel="00000000" w:rsidP="00000000" w:rsidRDefault="00000000" w:rsidRPr="00000000" w14:paraId="00000021">
      <w:pPr>
        <w:rPr/>
      </w:pPr>
      <w:r w:rsidDel="00000000" w:rsidR="00000000" w:rsidRPr="00000000">
        <w:rPr>
          <w:rtl w:val="0"/>
        </w:rPr>
        <w:t xml:space="preserve">To meet business needs in 2022, we will deliver large programs including Global Transfer of Asset, AWS Veritas infrastructure details, and AWS Buy-Sell using OFA Fixed Assets. We will leverage OFA Projects to accurately record and track key project cost information for Ops and GREF construction projects and integrate with GREF project management tools. By 2024, we will find alternatives and remove our dependency on OFA Projects.  </w:t>
      </w:r>
    </w:p>
    <w:p w:rsidR="00000000" w:rsidDel="00000000" w:rsidP="00000000" w:rsidRDefault="00000000" w:rsidRPr="00000000" w14:paraId="00000022">
      <w:pPr>
        <w:keepLines w:val="1"/>
        <w:rPr/>
      </w:pPr>
      <w:r w:rsidDel="00000000" w:rsidR="00000000" w:rsidRPr="00000000">
        <w:rPr>
          <w:rtl w:val="0"/>
        </w:rPr>
        <w:t xml:space="preserve">With Fixed Asset Automation, we will add a user interface, rules simulator, and use existing manual journal entry automation to record corrections upstream systems cannot make. We will leverage the DC3 beyond the CapEx scope to identify defects relating to OpEx purchase order coding. We will enhance DC3 to add defect identification predictive models, machine learning evaluation, and additional reference data sets. For construction in progress, we are exploring OFA Projects as a project management tool.</w:t>
      </w:r>
    </w:p>
    <w:p w:rsidR="00000000" w:rsidDel="00000000" w:rsidP="00000000" w:rsidRDefault="00000000" w:rsidRPr="00000000" w14:paraId="00000023">
      <w:pPr>
        <w:keepLines w:val="1"/>
        <w:rPr/>
      </w:pPr>
      <w:r w:rsidDel="00000000" w:rsidR="00000000" w:rsidRPr="00000000">
        <w:rPr>
          <w:rtl w:val="0"/>
        </w:rPr>
        <w:t xml:space="preserve">Future CAT releases will automate post-creation lifecycle transactions and cover all regions and OFA integrated businesses. We will integrate CAT with business asset trackers and use the asset tracking user interface for businesses without upstream Enterprise Asset Management systems. We will migrate historical assets from OFA to CAT and apply DC3 rules to identify and report inconsistencies in historical asset creation. We will conduct a pilot on Middle Mile assets to allow us to analyze and refine the process. </w:t>
      </w:r>
      <w:r w:rsidDel="00000000" w:rsidR="00000000" w:rsidRPr="00000000">
        <w:rPr>
          <w:rFonts w:ascii="Calibri" w:cs="Calibri" w:eastAsia="Calibri" w:hAnsi="Calibri"/>
          <w:rtl w:val="0"/>
        </w:rPr>
        <w:t xml:space="preserve">We will assess disaggregation and physical asset linkage given post-creation automation, accuracy, and timeliness. </w:t>
      </w:r>
      <w:r w:rsidDel="00000000" w:rsidR="00000000" w:rsidRPr="00000000">
        <w:rPr>
          <w:rtl w:val="0"/>
        </w:rPr>
        <w:t xml:space="preserve">This will determine the extent of disaggregation of historical assets from OFA. Historical assets will be migrated as needed.</w:t>
      </w:r>
    </w:p>
    <w:p w:rsidR="00000000" w:rsidDel="00000000" w:rsidP="00000000" w:rsidRDefault="00000000" w:rsidRPr="00000000" w14:paraId="00000024">
      <w:pPr>
        <w:keepLines w:val="1"/>
        <w:rPr/>
      </w:pPr>
      <w:r w:rsidDel="00000000" w:rsidR="00000000" w:rsidRPr="00000000">
        <w:rPr>
          <w:rtl w:val="0"/>
        </w:rPr>
        <w:t xml:space="preserve">We will build a Depreciation Engine and Fixed Assets Subledger to replace existing OFA capabilities. The depreciation engine will calculate GAAP, statutory, and GL depreciation entries. Tax will continue to use existing tools for their use cases. We will explore whether we can use existing services, such as Financial Ledger and Accounting Systems Hub, and Unified SubLedger. We will publish the Fixed Assets data to the Finance Data Vault (FDV) for downstream reporting. Asset data published to FDV will include data lineage to source systems and cost component detail to support statutory and tax use cases. </w:t>
      </w:r>
    </w:p>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Compliance and Security.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Complying with laws and regulations across the globe accurately and on time is critical for Amazon to sustain and grow its businesses. This includes complying with tax and statutory filing obligations, and regulatory requirements like Sarbanes-Oxley. Non-compliance results in penalties and reputational risk. FinTech builds technology solutions that help Amazon meet compliance requirements and keep pace with emerging regulation changes. Maintaining controllership, reducing audit risks, protecting customer data, and supporting Amazon’s growth are the key drivers for our three-year investments in this area.</w:t>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are building a platform for Standard Audit File for Tax (SAF-T), an international compliance standard for electronic exchange of tax and accounting data with authorities. In 2020, as part of the Statutory and Compliance program, we launched the first version of Compliance Central to enable centralized statutory and compliance reporting with self-service capabilities. We will continue this strategy to deliver key initiatives such as Compliance Registers, Statistical Reporting, and e-Reporting through Compliance Central over the next three years. We will leverage the capabilities in FDV to continue to evolve statutory reporting. We revised our electronic submission strategy to learn from our work on SAF-T and Comply First Time before investing in a new in-house solution.</w:t>
      </w:r>
    </w:p>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will partner with Accounting, Tax, and Treasury to build intercompany solutions to ensure transactions between Amazon entities are accurately priced, taxed, accounted, settled, and reported. This includes periodic transactions such as manual journals and event-based (non-periodic) transactions, such as inventory transfers, market sales, and digital transactions. In 2020, we launched an MJE tool to book intercompany manual journals. We started development for Transfer Pricing and Settlements, two key multi-year initiatives with initial releases for both in 2021. Transfer Pricing Engine will automate the booking of transfer pricing entries based on intercompany agreements. In partnership with eCFI, the system we are building for Settlements will automate transaction level matching, clearing, and out-of-balance processing, along with approval and audit capabilities. After we build these scalable in-house systems for intercompany over the next three years, we will deprecate Virtual Trader, the third-party solution we use today.</w:t>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tax compliance, we will continue to invest in Tax Data Warehouse (TDW), a data platform that serves as the authoritative source for indirect tax filings for US, EMEA, APAC, and LATAM. We will roll out TDW for Mexico, Canada, and China, and onboard Amazon subsidiaries, making TDW the central indirect tax compliance platform. In Brazil, we will build custom software around Synchro, a third-party application, to meet the local compliance and reporting needs. We will continue to build solutions for end-to-end indirect tax compliance automation that enable Tax to prepare, review, and generate their filings.</w:t>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build solutions to enable FGBS deal with the ambiguity and complexity involved in responding to audits. Tax Audit Portal (TAP) is a self-service tool for US sales tax audits. In 2021, we will launch the first version of Global TAP (G-TAP) to support international tax audits. Our strategy is to expand TAP to be a global solution, enabling our customers to quickly respond to audits. Global three-way match between tax, accounting, and invoicing data, and transaction audit trail are increasingly requested by authorities. To scale to this need, we will partner with INTech, Tax, and Accounting to define a strategy and expand our reconciliation solutions. Additionally, we are building a data lineage solution that can track and trace transactions through various Amazon non-financial and financial systems.</w:t>
      </w:r>
    </w:p>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own Delta, a change management monitoring service that is critical for SOX and SOC-1 compliance. We launched Delta 2.0 in 2020 and are extending Delta to the FedRamp compliance program and all compute, storage, and database services on AWS. We will automate the onboarding process and centralize violation reporting and resolution, delivering a unified compliance management experience. We will partner with AWS to offer Delta as an AWS service after driving adoption within Amazon.</w:t>
      </w:r>
    </w:p>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launched Governance, Risk, and Compliance (GRC 2.0) minimum lovable product in 2020. We will extend GRC 2.0 by building risk assessment, classification, risk-control mapping, and analytics capabilities for risk teams. We will enable customers to create and manage policies and standards with acknowledgement and exception workflows, and integrate new regulatory frameworks and compliance programs. Beyond building industry standard features on GRC, we will build multi-tenancy, security, billing, reliability, and operations capabilities and externalize the service for AWS customers. We will focus on building the necessary capabilities and processes for Amazon’s needs and driving adoption before scaling as an external service.</w:t>
      </w:r>
    </w:p>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Ensuring the security of systems, applications, and data in FGBS is crucial to establish and maintain customer trust. We will develop our federated security team, FinSec, as a security center of excellence within FGBS and continue to help engineering teams develop and operate securely. We will build a finance security operations center that understands our unique threat landscape to perform threat detection and incident management for the services we build and operate. We will continue to focus on security education, champion security reviews, and scale them through our security certifier program.</w:t>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Automation.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Automation reduces human errors that cause financial data to be inaccurate, improves controllership risk, and improves productivity. In 2020, we eliminated 1.2K (7.5% of 16K entries per month) MJEs and 32.5K hours of yearly manual effort across FGBS. We onboarded 14.3K or 67% of 21.3K reconciliations across FOAA and Accounting. We delivered the Cash Flow Optimization and Automation FGBS goal. We replaced Oracle Hyperion Profitability and Cost Management (HPCM) using Spectra, launched 2.4K allocations, onboarded six reserves and three rates ($899MM), and delivered self-service re-class capabilities, including booking of balance sheet and income statement re-classes. Amazon’s growth and building re-usable software to accelerate delivery to customers are the key drivers for our three-year investments in this area.</w:t>
      </w:r>
    </w:p>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FGBS spends thousands of hours across Accounting, AP, AR, Tax, and Marketing on manual data entry and correction, data transformation and calculation, journal entries, and payment submission. For example, in Accounting, 16K MJEs worth at least $280B are entered manually, with 7.5K (40%) of the entries affecting financial statements. Growth in volume and business expansions outpaced automation progress, increasing manual effort and headcount. Our existing purpose-built tools offer use case specific capabilities that limit extensibility to a broader set of MJE categories.  </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make investments to reduce FGBS manual effort and improve controllership. Leveraging existing tools, we will develop a user-configurable journal entry automation product to enable Accounting users to automate journal entries (4-6K), including local GAAP and secondary ledger entries. We will enhance the existing close orchestration tools to monitor, manage, and optimize the close process, eliminating the need to coordinate tasks in Excel and SharePoint. The availability of all financial data in one place using FDV will further accelerate automation and enable analytics solutions to detect and resolve financial data exceptions.</w:t>
      </w:r>
    </w:p>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limited self-service capability available to users is a bottleneck in scaling business processes and makes FinTech a bottleneck for business launches. The lack of self-service in our applications results in an average launch timeline of five to 12 weeks, delaying the start of businesses and requiring accounting to maintain manual processes. We will maintain the highest standard on controllership through security reviews, access control, audit trail logging, and other mechanisms to remain compliant. </w:t>
      </w:r>
    </w:p>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continue to build best in class solutions using AWS and reduce dependencies on third-party tools. We will deliver an inventory tracking and management tool to orchestrate the flow of non-retail items in a continuous cycle, automate the end-to-end process for revaluating and posting for transactions worth $140B (Q1-2021 data) per month, and automate multi-currency transaction translations required to consolidate financial reporting. We will deliver an end-to-end solution to manage Warrants, currently valued at over $1B and growing at 25-30% annually. </w:t>
      </w:r>
    </w:p>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add common services to improve delivery time and quality. In addition, we will build capabilities to incorporate machine learning based recommendations and categorization. </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an environment where data growth is exponential, tools and services to consolidate, validate, and distill information to the needs of our customers are essential. Speed and accuracy are critical for data relevancy. Governed financial data reduces controllership risk with regulatory reporting. Centralizing and consolidating data, controllership, and reporting and analytics at scale are the key drivers for our three-year investments in this area.</w:t>
      </w:r>
    </w:p>
    <w:p w:rsidR="00000000" w:rsidDel="00000000" w:rsidP="00000000" w:rsidRDefault="00000000" w:rsidRPr="00000000" w14:paraId="00000034">
      <w:pPr>
        <w:keepLines w:val="1"/>
        <w:spacing w:before="120" w:lineRule="auto"/>
        <w:rPr/>
      </w:pPr>
      <w:r w:rsidDel="00000000" w:rsidR="00000000" w:rsidRPr="00000000">
        <w:rPr>
          <w:rtl w:val="0"/>
        </w:rPr>
        <w:t xml:space="preserve">Since our last 3YP, we revised our approach for FDV to focus on onboarding select data with minimum latency to solve for specific business use cases and strategic programs. As of Q2 2021, we loaded 70 OFA datasets to FDV and will add 22 USL datasets (serving 175 reports) by the end of 2021. Users of Blackline reconciliations now consume OFA data from FDV with latency limits of 30 minutes instead of hours. By the end of 2021, we will onboard users of CheckBook and release the first version of the catalog, which will provide visibility to users on the datasets and reports available in FDV with associated details, such as owner, permission, schema, data freshness metrics, and SOX controls. </w:t>
      </w:r>
    </w:p>
    <w:p w:rsidR="00000000" w:rsidDel="00000000" w:rsidP="00000000" w:rsidRDefault="00000000" w:rsidRPr="00000000" w14:paraId="00000035">
      <w:pPr>
        <w:keepLines w:val="1"/>
        <w:spacing w:before="120" w:lineRule="auto"/>
        <w:rPr/>
      </w:pPr>
      <w:r w:rsidDel="00000000" w:rsidR="00000000" w:rsidRPr="00000000">
        <w:rPr>
          <w:rtl w:val="0"/>
        </w:rPr>
        <w:t xml:space="preserve">Over the next three years, we will continue building FDV as the single source of authoritative financial data and collaborate with FGBS stakeholders to prioritize data onboarding. We will enable users to manipulate data and generate new insights. We will build a process for users to self-serve data onboarding, which will reduce the duration of adding new dataset from days to minutes. We will integrate with the company wide data lake, Andes, to bring in datasets we need for reconciliation and business reporting. As we increase FDV capabilities, we will deprecate FinTech-owned data warehouses. This will provide users visibility and the ability to join data across multiple sources without duplication. We will build the data lineage service to capture lineage metadata to minimize defects and reduce time spent in preparing data needed for external audits. As part of our OFA reduction strategy, we will migrate the reporting and analytical use cases from OFA to FDV.</w:t>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continue to enhance Magnify month close analysis to enhance data analytics and annotation workflows. In 2021, we delivered self-service capabilities to onboard and share reports in Magnify, which increased user adoption by 61.2% (500 monthly users) as of Q2 2021. Reducing data refresh latency of account balances from hours to 15 minutes and developing the right product capabilities saved 850 hours annually. By the end of 2021, we will include GL detail and subledger transactions to dive deep into AP subledger information from one tool. </w:t>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 reporting is inefficient to analyze and reconcile the month-end close data accurately and on time. In the next three years, we will make Magnify the primary month-end close tool to automate data analytics and annotation workflows. We will integrate Magnify with additional data sources such as Forecast, Tax, Hyperion Financial Management, and secondary ledger. We will build automation enabling users to define rules and leverage machine learning to identify anomalies to improve accuracy and reduce time to detect.</w:t>
      </w:r>
      <w:r w:rsidDel="00000000" w:rsidR="00000000" w:rsidRPr="00000000">
        <w:rPr>
          <w:rtl w:val="0"/>
        </w:rPr>
      </w:r>
    </w:p>
    <w:p w:rsidR="00000000" w:rsidDel="00000000" w:rsidP="00000000" w:rsidRDefault="00000000" w:rsidRPr="00000000" w14:paraId="00000038">
      <w:pPr>
        <w:pStyle w:val="Heading1"/>
        <w:keepLines w:val="1"/>
        <w:rPr/>
      </w:pPr>
      <w:r w:rsidDel="00000000" w:rsidR="00000000" w:rsidRPr="00000000">
        <w:rPr>
          <w:rtl w:val="0"/>
        </w:rPr>
        <w:t xml:space="preserve">People</w:t>
      </w:r>
    </w:p>
    <w:p w:rsidR="00000000" w:rsidDel="00000000" w:rsidP="00000000" w:rsidRDefault="00000000" w:rsidRPr="00000000" w14:paraId="00000039">
      <w:pPr>
        <w:keepLines w:val="1"/>
        <w:rPr/>
      </w:pPr>
      <w:bookmarkStart w:colFirst="0" w:colLast="0" w:name="_30j0zll" w:id="1"/>
      <w:bookmarkEnd w:id="1"/>
      <w:r w:rsidDel="00000000" w:rsidR="00000000" w:rsidRPr="00000000">
        <w:rPr>
          <w:rtl w:val="0"/>
        </w:rPr>
        <w:t xml:space="preserve">Investing in our people is fundamental to deliver on our three-year plan. We will continue building and sustaining a technical organization that will enable us to innovate and scale to meet Amazon’s growth. Our current challenges are hiring diverse talent and Principal Engineers (PEs). We did not make progress in hiring Black leaders or individual contributors (ICs) and are not on track to hire two PEs in 2021, which we set out as goals in last year’s 3YP. We improved our female and LatinX populations but need to continue to do more. We improved in hiring diverse tech leaders, increasing from five to ten.</w:t>
      </w:r>
    </w:p>
    <w:p w:rsidR="00000000" w:rsidDel="00000000" w:rsidP="00000000" w:rsidRDefault="00000000" w:rsidRPr="00000000" w14:paraId="0000003A">
      <w:pPr>
        <w:keepLines w:val="1"/>
        <w:rPr/>
      </w:pPr>
      <w:r w:rsidDel="00000000" w:rsidR="00000000" w:rsidRPr="00000000">
        <w:rPr>
          <w:rFonts w:ascii="Calibri" w:cs="Calibri" w:eastAsia="Calibri" w:hAnsi="Calibri"/>
          <w:color w:val="000000"/>
          <w:rtl w:val="0"/>
        </w:rPr>
        <w:t xml:space="preserve">We hired three senior SDMs from AWS and Alexa and two industry senior SDMs, including a female leader. </w:t>
      </w:r>
      <w:r w:rsidDel="00000000" w:rsidR="00000000" w:rsidRPr="00000000">
        <w:rPr>
          <w:rtl w:val="0"/>
        </w:rPr>
        <w:t xml:space="preserve">Our L6 ICs in </w:t>
      </w:r>
      <w:r w:rsidDel="00000000" w:rsidR="00000000" w:rsidRPr="00000000">
        <w:rPr>
          <w:rFonts w:ascii="Calibri" w:cs="Calibri" w:eastAsia="Calibri" w:hAnsi="Calibri"/>
          <w:color w:val="000000"/>
          <w:rtl w:val="0"/>
        </w:rPr>
        <w:t xml:space="preserve">Software Development (SDE) and Data Engineering (DE) job families increased from nine to 20. </w:t>
      </w:r>
      <w:r w:rsidDel="00000000" w:rsidR="00000000" w:rsidRPr="00000000">
        <w:rPr>
          <w:rtl w:val="0"/>
        </w:rPr>
        <w:t xml:space="preserve">We promoted 21% of our L4 talent and developed 6% of L5s to L6s across all our job families. We promoted two L6 managers to L7 Senior Managers. We provided management opportunities to our ICs with ambitions in that career path and lateraled seven ICs to managers. We will continue to provide opportunities for individuals with lateral growth while maintaining Amazon’s high bar for these changes. We stabilized our talent outflow, decreasing our trailing twelve month (TTM) transfer-out rate from 29.9% to 19.1% and are at balance with transfers-out and transfers-in. Our TTM transfer-out rate is now below the peer tech benchmark of 25%.</w:t>
      </w:r>
    </w:p>
    <w:p w:rsidR="00000000" w:rsidDel="00000000" w:rsidP="00000000" w:rsidRDefault="00000000" w:rsidRPr="00000000" w14:paraId="0000003B">
      <w:pPr>
        <w:keepLines w:val="1"/>
        <w:rPr/>
      </w:pPr>
      <w:r w:rsidDel="00000000" w:rsidR="00000000" w:rsidRPr="00000000">
        <w:rPr>
          <w:rtl w:val="0"/>
        </w:rPr>
        <w:t xml:space="preserve">It is essential to grow a team with an optimal number of non-technical employees to support technical employees, non-developers to support developers (who design and code), and managers to support ICs for us to deliver efficiently. Since our last 3YP, we reduced our non-technical team members from 8% to 6%, non-developers from 26% to 23%, and managers from 14% to 12%. Non-technical employees will decrease from 6% to 3% over the next three years as we grow the team. As we build software using AWS services, we will decrease our non-developer population from 23% to 16% over the next two years. We will maintain our manager population at 12%. We improved our combined SDE and Data Engineering L4:L5:L6 ratio from 45:53:2 to 41:52:7 and are on track to improve the ratio to 42:42:16 in the next two years.   </w:t>
      </w:r>
    </w:p>
    <w:p w:rsidR="00000000" w:rsidDel="00000000" w:rsidP="00000000" w:rsidRDefault="00000000" w:rsidRPr="00000000" w14:paraId="0000003C">
      <w:pPr>
        <w:keepLines w:val="1"/>
        <w:rPr/>
      </w:pPr>
      <w:r w:rsidDel="00000000" w:rsidR="00000000" w:rsidRPr="00000000">
        <w:rPr>
          <w:rtl w:val="0"/>
        </w:rPr>
        <w:t xml:space="preserve">We recognize that we must continue to retain and grow our talent. Our investments for the next three years provide opportunities to solve problems in-depth with a broad impact on customers and stakeholders. We will provide stretch assignments at each level for team members to learn, deliver, and grow. We will hire and grow L6 ICs in technical job families to give L4 and L5 team members role models. We will hire Principal ICs with Amazon experience and promote our L6 ICs that are ready. </w:t>
      </w:r>
    </w:p>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inclusive and diverse workforce is more qualified, creative, and innovative, which is critical to creating healthy and effective teams. We will continue to foster open mindsets and promote inclusive behaviors that make employees feel valued, trusted, connected, and informed. We expanded our use of diversity pipelines for L4 hires, hosting 21 interns and apprentices from the Hiring our Heroes, Amazon Future Engineers, Amazon Technical Academy, and Amazon Propel Programs. We will continue to increase our female, Black, and Latinx technical population to meet or exceed company goals. We will focus recruiting effort to achieve specific goals, including campus recruiting from Historically Black Colleges and Universities and colleges with a significant percentage of Hispanic engineers and participating in hiring from the National Society of Black Engineers (NSBE) and Society of Hispanic Professional Engineers (SHPE) annual events. </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we increased our team globally from 402 people to 552, an increase of 37%. By the end of 2021, we will grow to 696 people globally. From 2022 to 2024, we will grow by 12%, 10%, and 8% YoY. We will moderate headcount growth while continuing to focus on retaining and growing talent. We cannot grow in Seattle due to hiring constraints. We will grow in HQ2, the Netherlands, Brazil, and our two locations in India. We will stay flat or selectively grow in our other dev centers.</w:t>
      </w:r>
    </w:p>
    <w:p w:rsidR="00000000" w:rsidDel="00000000" w:rsidP="00000000" w:rsidRDefault="00000000" w:rsidRPr="00000000" w14:paraId="0000003F">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A: Three-Year Headcount Plan</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hanging="18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766560" cy="34442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66560" cy="344424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B: Frequently Asked Questions (FAQs)</w:t>
      </w:r>
    </w:p>
    <w:p w:rsidR="00000000" w:rsidDel="00000000" w:rsidP="00000000" w:rsidRDefault="00000000" w:rsidRPr="00000000" w14:paraId="00000042">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FinTech Specific FAQs</w:t>
      </w:r>
    </w:p>
    <w:p w:rsidR="00000000" w:rsidDel="00000000" w:rsidP="00000000" w:rsidRDefault="00000000" w:rsidRPr="00000000" w14:paraId="0000004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the key additions to your 3YP from last year? </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Cimarron’s team in eCFI will extend Bill2Pay to be the Billing Authority for Account Receivables instead of Oracle Financial Applications (OFA). We will partner with Cimmaron to share our use cases and knowledge. FinTech’s Cash Identification and Matching Service (CIMS) will be the Cash Authority to replace OFA and extend CIMS to support all Bill2Pay use cases.  </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improve payment resiliency by reducing dependency on banking partners’ infrastructure. </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extend Magnify to be the primary month-end close tool to automate data analytics and annotation workflow and integrate it with the data systems that Accounting needs. We will deliver an end-to-end solution to manage Warrants, currently valued at over $1B and growing at 25-30% annually. We will migrate reporting workloads from OFA to FDV. </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 Appendix C for a more detailed summary of changes by investment area.</w:t>
      </w:r>
    </w:p>
    <w:p w:rsidR="00000000" w:rsidDel="00000000" w:rsidP="00000000" w:rsidRDefault="00000000" w:rsidRPr="00000000" w14:paraId="0000004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did you stop doing or remove from your plan since your last 3YP?</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Retail vendor payments (14.2% of OFA volume) will route through UniPay as part of the Selling Partner Services integrated financial experience. We will not integrate with Society for Worldwide Interbank Financial Telecommunication (SWIFT) for international electronic payments. </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revised our data strategy from mass data onboarding to FDV by finance applications to focused data provision for business initiatives. We are on track to complete the OBIEE migration this year, so it is not in our plan for 2022-2024.</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topics are excluded from your 3YP? What is your position on these topics?</w:t>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OFA GL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will reduce our OFA dependency by building in-house solutions for Payments, Receivables, and Fixed Assets using AWS technologies. We will migrate reporting workloads from OFA to FDV. We do not have a plan to build a replacement for the OFA GL. In the coming months, we will study alternative third-party solutions then work with a Distinguished Engineer on the feasibility of Amazon building a solution. Building our solution will be a significant undertaking that will require return on investment analysis if Amazon is the only customer and will need considerable time commitment from Accounting and Tax.</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Subsidiaries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21 businesses including Whole Foods Market, Amazon Robotics, Audible, Twitch, Fabric, Ring, and Zappos are not fully integrated into Amazon applications, processes, and support models. As a result, non-integrated subsidiaries are not able to leverage FinTech solutions to support growth, expansion, and restructuring of the businesses. Fintech will continue to engage situationally with subsidiaries in an advisory capacity to share learnings and good practices.</w:t>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Manufacturing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Several emerging businesses are developing in-house manufacturing capabilities or planning to take control of manufacturing inventory. These business will require manufacturing enterprise resource planning capabilities like material requirements planning, inventory management, production scheduling, and shop floor control. Existing businesses with manufacturing capabilities, such as Amazon Robotics, Ops IT, and Fabric, are also exploring changes to their current manufacturing systems. Amazon does not have a centralized manufacturing solution and these teams are exploring options such as SAP (Kuiper), Oracle (Ops IT), Infor (Prime Air and Fabric), or building in-house (AWS Buy-Sell). FinTech and Accounting's approach has been to allow each business to select and implement their own solution. We will advise teams as needed, and may need additional resources to integrate these systems with our financial tools. </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Pre-paids, Intangibles.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Prepaids and intangibles are currently in the OFA Fixed Assets subledger. Although these are not fixed assets by definition, we included these on the Fixed Assets subledger instead of creating a separate subledger for pre-paids and intangibles. After the Fixed Asset Automation work is complete and all fixed assets are moved off of the OFA Fixed Assets subledger, the OFA subledger would become a pre-paids and intangible subledger by default or we can explore creating a pre-paids and intangibles subledger outside of OFA. Given fixed assets are higher priority, and there is not a compelling need to prioritize pre-paids and intangibles in the near term.</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Robotic Process Automation (RPA).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Several FGBS teams use RPA from different vendors. FinTech’s approach is to automate or eliminate underlying issues as a long-term solution rather than mechanizing the manual tasks. FinTech will work with Treasury, Accounting, and other stakeholders on best practices to follow from a security perspective.</w:t>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COVID / Return to Office.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will follow Amazon policies in the cities we have development centers and abide by local regulations.</w:t>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Infrastructure Market Rate (IMR):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IMR is the rate charged to consumers of Amazon Web Services within Amazon. FinTech oversees the forecast and approvals for all IMR spend in FGBS. In 2020 OP1, we forecasted to spend $52MM across FGBS. Actual IMR spend for FGBS was $70.6MM. In 2021 OP1, we forecasted $69.3MM across FGBS. As of 6/1/2021, FGBS IMR spend is $35MM. While this is a large yearly expense, we do not dedicate people on reducing IMR spend as these are internal transactions. We focus our efforts on educating developers on how to use Amazon Web Services and the impact on IMR spend. We will continue to rely on AWS for their guidance around IMR and changes to their policies.</w:t>
      </w:r>
    </w:p>
    <w:p w:rsidR="00000000" w:rsidDel="00000000" w:rsidP="00000000" w:rsidRDefault="00000000" w:rsidRPr="00000000" w14:paraId="0000005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were your top misses and learnings over the past year? What are you most disappointed about in your area (dirty laundry)?</w:t>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OFA AP to Teller Migration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Teller is FinTech’s initiative to build AP technology to replace OFA batch payment disbursement. We will not meet our 2021 goal of migrating 22% of OFA payments transactions to Teller. This is because FinTech did not obtain the required bandwidth from domain specialists in Tax and Accounting to complete requirements and operational readiness. We reset Teller governance and created a 24-month launch plan to migrate 68% of OFA payments by Q4 2023.</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Diversity and Principle Engineer (PE) Hiring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did not make progress in hiring Black leaders or ICs and are not on track to hire two PEs in 2021, which we set out as goals in last year’s 3YP. We improved our female and LatinX populations but need to continue to do more. We improved in hiring diverse tech leaders, increasing from five to ten. We hope by growing our population of diverse tech leaders will improve our ability to hire and retain diverse talent.</w:t>
      </w:r>
      <w:r w:rsidDel="00000000" w:rsidR="00000000" w:rsidRPr="00000000">
        <w:rPr>
          <w:rtl w:val="0"/>
        </w:rPr>
      </w:r>
    </w:p>
    <w:p w:rsidR="00000000" w:rsidDel="00000000" w:rsidP="00000000" w:rsidRDefault="00000000" w:rsidRPr="00000000" w14:paraId="0000005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were your positive surprises over the last year? How are you doubling down on them, and what are the specific actions that evolved from these positive surprises?</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Hiring Senior Talent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hired three senior SDMs from AWS and Alexa and two industry senior SDMs, including a female leader. We more than doubled our combined SDE/DE L6 ICs population from nine to 20. While these are in-line with the goals we set in our 3YP last year, they are improvements from prior years. Senior talent will provide our ICs with role models to aspire to. We will continue to hire and grow senior leaders in our org. In the coming 12 months, we will grow at least four L6 ICs to L7 and at least four L6 managers to L7 senior managers. We plan to hire an L7 leader in each of our dev centers by the end of 2021 and a Director in HQ2 and India by 2022 and 2023, respectively.</w:t>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Reducing Talent Outflow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stabilized our talent outflow, decreasing our trailing twelve month (TTM) transfer-out rate from 29.9% to 19.1% and are at balance with transfers-out and transfers-in. Our TTM transfer-out rate is below the peer tech benchmark of 25%. We attribute this improvement to several things, including but not limited to the increase in senior talent, diverse leaders, enhanced employee onboarding, intra-FinTech transfers, better rewards and recognition, and events like our first FGBS-wide hackathon. We continued town halls with our customer to help team members connect the benefit of their work. We will continue to test and learn and champion team members to drive new ideas they are passionate about.</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OBIEE Elimination Across Amazon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Q1 2021, the OBIEE Deprecation program expanded scope from FGBS-wide to Amazon-wide. We partnered with the three remaining teams in Amazon using OBIEE (Robotics, Digital Content &amp; Commerce Service (DCCS)/Kindle Content Metrics, Partner Support and Solutions (PSAS)) to share our QuickSight roadmap and consolidate QuickSight feature requests. This visibility helped DCCS determine that QuickSight met their BI needs and switched their target tool from Tableau to QuickSight. PSAS identified four QuickSight feature gaps, of which one was released in Q1 2021 and two were planned for FGBS by 9/30/2021. This helped accelerate PSAS' OBIEE deprecation timeline by one month.</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third-party products are you retiring over the next three years?</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Q1 2021, we deprecated HPCM, an Oracle product, with FinTech’s Spectra application. By the end of 2021, we will deprecate OBIEE, another Oracle product, in favor of QuickSight, saving $50MM in OBIEE licensing and support fees over three years. </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2022, we will deprecate More4Apps, a third-party tool that leverages existing APIs built for the AWS Veritas implementation. This will eliminate $200K per year in licensing and maintenance cost.</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Q1 2023, we will deliver an in-house multicurrency translation tool to consolidate financial reporting, which will serve a building block to deprecate Oracle HFM, a third-party product. By the end of 2024, we will deprecate consolidation and reporting functionalities currently performed in HFM for USGAAP followed by Local GAAP. This will save $150K in licensing and maintenance cost. </w:t>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2023, we will deprecate Virtual Trader with FinTech built Intercompany solutions for transfer pricing and settlements. We will also stop using OFA as the Cash Authority even though we cannot deprecate OFA AR functionality until we migrate the Billing Authority functionality to Cimarron’s Bill2Pay in 2025.</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middle of 2024, we will deprecate the OFA AP module with FinTech solutions – Teller and FinPay. FinPay is already operating in production with the necessary functionality at scale for Payments Transmission. </w:t>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deprecate the OFA Fixed Assets module by the end of 2024.</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2022, we will deprecate Oracle Data Relationship Governance using FinTech’s FRAMES application and deprecate Oracle WebADI using FinTech’s Spursh framework. In addition, we will discuss our use of other existing third-party software solutions, including Wdesk, Oracle Data Relationship Management, and Stock Administration System, with our customers to determine if they are being fully utilized and whether they should be deprecated or redesigned.</w:t>
      </w:r>
    </w:p>
    <w:p w:rsidR="00000000" w:rsidDel="00000000" w:rsidP="00000000" w:rsidRDefault="00000000" w:rsidRPr="00000000" w14:paraId="0000006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would your team need (tools, systems, etc.) to keep headcount flat over the next three years?</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we had to keep our headcount flat, we would review our work’s prioritization, focusing first on work supporting compliance with laws and regulations, then on initiatives for automating work and reducing costs, and finally, on capabilities providing business insights. This reprioritization would affect customer goals and could block Amazon’s growth. Keeping FinTech headcount flat would lead to our customers either growing their own headcount to perform their required work manually, or starting their own tech teams to build needed capabilities themselves. </w:t>
      </w:r>
    </w:p>
    <w:p w:rsidR="00000000" w:rsidDel="00000000" w:rsidP="00000000" w:rsidRDefault="00000000" w:rsidRPr="00000000" w14:paraId="0000006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mechanisms do you have for connecting with your customers?</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a strategic planning perspective, we use monthly and quarterly business reviews, three-year planning, operational planning, and town hall interviews to connect with our customers. We also utilize 1:1s, program updates, workshops, and brainstorming sessions to keep our ears to the ground and stay connected with our customers throughout the year. </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is the first of a yearly update we will make to the 3YP we prepared in 2020. This process involved connecting with each of our stakeholders across FGBS, ensuring they challenged us to think big, and aligned on organizational strategic initiatives. For OP, we prepare and review individual OP documents for each of our customers, which helps ensure we stay connected to our immediate plans for the following year. Our Town Hall series, which we initiated in 2020, includes Q&amp;A with our customers. We conduct these Town Halls live with our global FinTech team, and are available for replay on our FinTech broadcast page. We interviewed three customer VPs in 2020 and our CFO in Q2 2021. We will continue this series on a rolling basis.</w:t>
      </w:r>
    </w:p>
    <w:p w:rsidR="00000000" w:rsidDel="00000000" w:rsidP="00000000" w:rsidRDefault="00000000" w:rsidRPr="00000000" w14:paraId="0000006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 doing for Operational Excellence (OE) and Engineer Excellence (EE)?</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 the next three years, we will continue to define and track OE goals for each team. We will review these goals in weekly operational excellence metrics reviews and monthly tech metrics reviews. We will use metrics to prioritize work that impacts customers and improves engineers’ productivity. OE goals will target both existing and new services.</w:t>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existing services, we will focus on acknowledgment and action for policy engine violations, GRC violations, and trouble tickets with increased velocity to ensure smooth operations within defined service level agreements. For new services, we will institutionalize an operational readiness review (ORR) process. ORRs will ensure all new services have the right infrastructure, instrumentation, metrics, alarms, dashboards, run books, automated testing, and deployments. We will extend ORR to cover existing services (i.e., reoccurring ORR) to make sure we continue to meet Amazon's OE bar.</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continuously raise the bar in the way we design, implement, test, and operate our software. We will use the existing FinTech engineering excellence program (Level Up) as a mechanism to measure and motivate teams to implement and maintain engineering best practices. Each team will take on a level-up goal to achieve at least one level higher. We will by default use native AWS to build new services. This will ensure teams have access to the full range of AWS features in their own AWS accounts, in contrast to the limited subset available in MAWS (Move to AWS, the legacy program for moving compute workload from the Prod network to AWS EC2). This strategy is aligned with Amazon’s goal to move workload to AWS and take advantage to improve developer productivity, reduce operational load, and optimize resource utilization.</w:t>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continue to examine our engineering processes to ensure we follow best practices in the industry and leverage Amazon's development ecosystems. We will continue to raise the deployment bar, not only for safety but to promote automation and reduce human factors from the process.</w:t>
      </w:r>
    </w:p>
    <w:p w:rsidR="00000000" w:rsidDel="00000000" w:rsidP="00000000" w:rsidRDefault="00000000" w:rsidRPr="00000000" w14:paraId="0000006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 doing to improve the security and risk posture of applications?</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72"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continue to invest in security training for our engineers. Our design review and application security review programs focus on finding security issues in the early stages of software development through production launch. We grew our security certifier community from 18 to 26 with a plan to grow to 56 by the end of 2021.  In December 2020, we launched an application review program to reduce technology risks and implement necessary internal controls in new application launches. We continue to work closely with the global financial risk and controls (GFRC) team to confirm SOX compliance. In February 2021, we launched a new program to inspect existing critical applications and identify opportunities for improvement. </w:t>
      </w:r>
    </w:p>
    <w:p w:rsidR="00000000" w:rsidDel="00000000" w:rsidP="00000000" w:rsidRDefault="00000000" w:rsidRPr="00000000" w14:paraId="0000006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Why are you slowing down your headcount growth? What data points support this? </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the last three years, we grew at 25%+ YoY. Growing at this rate requires constant devotion to recruiting and training new team members. In the future, we will focus more on building self-service solutions to empower our users so engineers are not onboarding similar use cases. We will be deliberate in developing reusable services and reduce duplicate investments across teams. With our OE and EE goals, we will automate software development and deployment steps so engineers are not working on manual processes repeatedly. We will moderate headcount growth while continuing to focus on retaining and growing talent. </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stabilized our talent outflow, decreasing our trailing twelve-month transfer-out rate from 29.9% to 19.1%. We increased our L6 IC SDE and DE job families. This ensures we have experienced engineers in design and reviews, allowing our team members to learn better architecture and design of systems. We are encouraging our team members to explore new opportunities within FinTech to provide them new challenges. As we grow experienced team members in the org and focus on reusable and self-service solutions, we will get more done with moderate growth.</w:t>
      </w:r>
    </w:p>
    <w:p w:rsidR="00000000" w:rsidDel="00000000" w:rsidP="00000000" w:rsidRDefault="00000000" w:rsidRPr="00000000" w14:paraId="0000007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Why are your manager and job satisfaction scores lower than the FGBS average?</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remain below the FGBS average with problems localized to specific managers. We are working with these managers to provide the necessary coaching to successfully lead and mentor their teams. In Q2 2021, FinTech employees indicated job satisfaction of 3.6/5.0 and manager satisfaction of 3.9/5.0. These are unchanged from Q1 2021. We are in-line with tech peers but below the FGBS average (3.7 for job and 4.0 for manager satisfaction). In April 2020, manager satisfaction reached 4.0, a year-on-year increase of 0.2. We remain 0.1 below Amazon’s average. </w:t>
      </w:r>
    </w:p>
    <w:p w:rsidR="00000000" w:rsidDel="00000000" w:rsidP="00000000" w:rsidRDefault="00000000" w:rsidRPr="00000000" w14:paraId="0000007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 doing for your employees to ensure inclusivity?</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focus on cultivating an inclusive culture, empowering our people, expanding our pipeline, and growing leadership engagement. In 2021, we will continue to foster open mindsets and promote inclusive behaviors that make employees feel valued, trusted, connected, and informed. We will set FinTech level goals for inclusion with a feedback loop to individual contributors and people managers to measure progress and make adjustments. We will leverage FGBS and Amazon initiatives such as inclusive hiring, inclusive leadership summit, and team inclusion training.</w:t>
      </w:r>
    </w:p>
    <w:p w:rsidR="00000000" w:rsidDel="00000000" w:rsidP="00000000" w:rsidRDefault="00000000" w:rsidRPr="00000000" w14:paraId="0000007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has COVID-19 impacted your three-year plan?</w:t>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COVID-19 did not impact our ability to deliver on our 2020 FGBS-level goals; however, it continues to impact our ability to hire at the pace we need, particularly in our Cash Management and Tax teams. New team members do no significantly impact our ability to deliver near-term goals. We are likely to see impacts over the next year or two based on these hiring trends. We will continue to monitor hiring trends throughout 2021 to determine if we need to make changes to our location strategy in the near-term while evaluating the long-term impacts of COVID to the workforce. </w:t>
      </w:r>
    </w:p>
    <w:p w:rsidR="00000000" w:rsidDel="00000000" w:rsidP="00000000" w:rsidRDefault="00000000" w:rsidRPr="00000000" w14:paraId="00000077">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FGBS Wide FAQs</w:t>
      </w:r>
    </w:p>
    <w:p w:rsidR="00000000" w:rsidDel="00000000" w:rsidP="00000000" w:rsidRDefault="00000000" w:rsidRPr="00000000" w14:paraId="0000007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Please provide qualitative commentary on the top drivers for YoY headcount and Opex growth for 2022 through 2024.</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top headcount and Opex drivers are technology investments of our customers to mitigate their growth.</w:t>
      </w:r>
    </w:p>
    <w:p w:rsidR="00000000" w:rsidDel="00000000" w:rsidP="00000000" w:rsidRDefault="00000000" w:rsidRPr="00000000" w14:paraId="0000007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plans to leverage technology / automation to mitigate future headcount growth? When do your current investments in technology begin to decelerate your headcount growth? </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our charter is to enable FGBS teams and provide leverage through automation and self-service, our investments primarily benefit our customers. We build automation and self-service tools on behalf of our stakeholders to scale for Amazon’s growth. Once we deploy, our involvement with these tools is for KTLO, and we do not need additional headcount. We will continue to enhance the tools to meet business needs and re-allocate resources to other high-priority projects as required. </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are decelerating our headcount growth starting in 2022. Compared to our 20%+ growth the last two years, we will moderate headcount growth and continue to focus on retaining our talent. From 2022 to 2024, we will grow by 12%, 10%, and 8% YoY. We are dedicating time to automate engineers’ manual processes and improve operational excellence to better serve our customers and improve developers’ experience. </w:t>
      </w:r>
    </w:p>
    <w:p w:rsidR="00000000" w:rsidDel="00000000" w:rsidP="00000000" w:rsidRDefault="00000000" w:rsidRPr="00000000" w14:paraId="0000007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your strategy to continue to grow in HQ2? Do you have plans to grow in the US outside Seattle and HQ2?</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FinTech’s US location strategy will decrease our Seattle headcount slowly as we grow in HQ2. From 2022 to 2024, we will grow our footprint in HQ2 from 66 to 182 (40.23% YoY). We plan to keep all other US locations flat.</w:t>
      </w:r>
    </w:p>
    <w:p w:rsidR="00000000" w:rsidDel="00000000" w:rsidP="00000000" w:rsidRDefault="00000000" w:rsidRPr="00000000" w14:paraId="0000007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Are you planning to leverage our low-cost geographies (i.e. India, Costa Rica, and China)? If so, please outline your strategy for your team’s headcount growth in those localities.</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In 2021, we will grow our team in Hyderabad, India from 87 to 134 (54%). We started a new office in New Delhi, India and will grow this location to 52 people by the end of 2021. We will leverage this hiring momentum to continue to grow these locations. From 2022 to 2024, we will grow our India footprint in New Delhi and Hyderabad from 186 to 300 (17.3% YoY). Based off of our cost per head (CPH) assumptions, we will decrease our blended CPH from $136.20 in 2021 to $127.97 in 2024.</w:t>
      </w:r>
    </w:p>
    <w:p w:rsidR="00000000" w:rsidDel="00000000" w:rsidP="00000000" w:rsidRDefault="00000000" w:rsidRPr="00000000" w14:paraId="0000008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top technology investments for 2022 through 2024? </w:t>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Reducing our dependency on Oracle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is building our own AWS based solutions to replace some of Oracle Financial Applications functionality. Specific modules in Oracle we are focused on include Payables, Receivables, and Fixed Assets.</w:t>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Knowledge Services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will invest in data platform and services to serve data needs for FGBS.</w:t>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Automation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will continue to scale our existing technology solutions and identify additional areas ripe for automation. This automation will provide leverage for our stakeholders and reduce their need to increase manual effort.</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Compliance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will continue to mature tools to comply with local government regulatory obligations. Our ability to comply rapidly and efficiently is important to retain stakeholders trust and avoid detours from our vision.</w:t>
      </w:r>
    </w:p>
    <w:p w:rsidR="00000000" w:rsidDel="00000000" w:rsidP="00000000" w:rsidRDefault="00000000" w:rsidRPr="00000000" w14:paraId="0000008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you expect any material (+15%) YoY headcount or Opex growth, or growth exceeding recent trends? If so, please provide qualitative drivers of that growth, including the Amazon business associated with that growth.</w:t>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we will not grow headcount or OpEx by +15%.</w:t>
      </w:r>
    </w:p>
    <w:p w:rsidR="00000000" w:rsidDel="00000000" w:rsidP="00000000" w:rsidRDefault="00000000" w:rsidRPr="00000000" w14:paraId="0000008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 have seen several teams are exceeding their Seattle headcount cap. Please explain how you your organization will grow over the next three years under the constraint of the Seattle headcount cap.</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are below our Seattle headcount cap and our location strategy will keep us below. We will grow in India and HQ2 while we reduce our footprint in Seattle. From 2022 to 2024, we will decrease our Seattle footprint from 248 to 216 (-4.5% YoY). </w:t>
      </w:r>
    </w:p>
    <w:p w:rsidR="00000000" w:rsidDel="00000000" w:rsidP="00000000" w:rsidRDefault="00000000" w:rsidRPr="00000000" w14:paraId="0000008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 OP2, your YoY headcount growth was planned at 33%. It is our expectation that your headcount growth in 3YF will be much more modest. If it is not, can you please explain in detail?</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2022-2024 growth is more modest (7.6% - 12.2% YoY).</w:t>
      </w:r>
    </w:p>
    <w:p w:rsidR="00000000" w:rsidDel="00000000" w:rsidP="00000000" w:rsidRDefault="00000000" w:rsidRPr="00000000" w14:paraId="0000008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72"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you expect to be able to leverage investments in technology to moderate headcount growth?</w:t>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8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take our customer’s investment in technology to mitigate growth within their organization.</w:t>
      </w:r>
      <w:r w:rsidDel="00000000" w:rsidR="00000000" w:rsidRPr="00000000">
        <w:br w:type="page"/>
      </w:r>
      <w:r w:rsidDel="00000000" w:rsidR="00000000" w:rsidRPr="00000000">
        <w:rPr>
          <w:rtl w:val="0"/>
        </w:rPr>
      </w:r>
    </w:p>
    <w:p w:rsidR="00000000" w:rsidDel="00000000" w:rsidP="00000000" w:rsidRDefault="00000000" w:rsidRPr="00000000" w14:paraId="0000008E">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 Changes from 2020 by Key Investment Area</w:t>
      </w:r>
    </w:p>
    <w:p w:rsidR="00000000" w:rsidDel="00000000" w:rsidP="00000000" w:rsidRDefault="00000000" w:rsidRPr="00000000" w14:paraId="000000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Receivables</w:t>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three-year plan 3YP, we invested in building scalable services for cash application and billing integrations to reduce dependence on Oracle Financial Applications (OFA) and scale with business growth. We improved auto-cash application first pass yield from 85.12% to 89.87%, an increase of 475 bps. We made improvements to Billing Hub’s configurable rules and tax integrations to reduce business launch timelines from six weeks to four weeks. </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not invest in building Services for Managing Accounts Receivable Transactions for AWS China as planned in last year’s 3YP. In August 2020, eCommerce Financial Integration (eCFI), FinTech, FinAuto and FinOps aligned on an Accounts Receivable (AR) approach to deliver a unified receivables solution by 2025. We will build and enhance features in existing systems to deliver on this converged strategy. eCFI will build the billing authority using Cimarron. FinTech will build the cash application authority using Cash Identification and Matching Service. We will also build services for other receivable processes including manual invoicing for small businesses in Billing Hub, dispute management, and balance transfers across AR and Accounts Payable (AP) subledgers. FinAuto will build the collections authority and capabilities to report and manage customer profiles using Amazon Collect.  </w:t>
      </w:r>
    </w:p>
    <w:p w:rsidR="00000000" w:rsidDel="00000000" w:rsidP="00000000" w:rsidRDefault="00000000" w:rsidRPr="00000000" w14:paraId="000000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Treasury</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we partnered with Treasury Tech to deliver products for the Treasury Risk and Cash teams. We launched the Origami RMIS and began scoping the data needs for Quantum, which will be Amazon’s next TMS and form the foundation for the GTC. We put our SWIFT integration plans on hold as the need for this capability is reduced with the GTC on-behalf-of capability and the launch of Trax as an alternate channel for manual payments.</w:t>
      </w:r>
    </w:p>
    <w:p w:rsidR="00000000" w:rsidDel="00000000" w:rsidP="00000000" w:rsidRDefault="00000000" w:rsidRPr="00000000" w14:paraId="000000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we automated 600+ manual payments per month, eliminated check payments in 16+ currencies, and delivered faster payments in three countries. We launched Litmus, a service to validate payee bank accounts, in five countries that prevented failures to 8K payees as of 5/1/2021. We launched Dollar Glass 2.0 in native AWS to increase payments transparency and will integrate Teller payments and increase invoice transparency by Q4 2021. Teller also launched Litmus traffic in 2021.</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Teller, we learned that integrating directly with business systems requires disruptive engineering effort with marginal business benefit. This approach also did leverage FinAuto’s invoice processing innovation. We revised our approach for Teller to source all invoice traffic, excluding Transportation, from FinAuto’s disbursement gateway. We also reset our Teller use case scope with Accounting and Tax. We did not engage in the initial design to confirm Accounting, Tax, and operational readiness requirements.   </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Additions to our 3YP include building services for payment resiliency and business continuity planning, and building services to automate the corporate cards process. We changed our plan for direct Society for Worldwide Interbank Financial Telecommunication integration to use the new Treasury Management System for an alternate channel for manual payments.</w:t>
      </w:r>
    </w:p>
    <w:p w:rsidR="00000000" w:rsidDel="00000000" w:rsidP="00000000" w:rsidRDefault="00000000" w:rsidRPr="00000000" w14:paraId="000000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Fixed Assets</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2020, the CapEx growth rate was 27% and we expected the number of individual assets to grow from 200MM to over 1B by the end of 2026. However, CapEx growth continued to accelerate at a 56% YoY increase in 2021. At this rate, Amazon will exceed 3B individual assets by 2026.</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FinTech created three two-pizza teams to build out the fixed asset automation capabilities and set 2021 goals for three minimum lovable product launches (DC3, capex asset tracker, and construction in progress in service date tracking). As we grew these teams, we gathered requirements and completed designs for these phases. </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we reduce our fixed assets Oracle footprint, we continue to deliver on existing and new initiatives in OFA. Since our last 3YP, we delivered automation initiatives including AWS Outpost (on premise server), AWS useful asset life changes, Coupa commodity correction automation, and optimizations that helped scale with Amazon’s growth. </w:t>
      </w:r>
    </w:p>
    <w:p w:rsidR="00000000" w:rsidDel="00000000" w:rsidP="00000000" w:rsidRDefault="00000000" w:rsidRPr="00000000" w14:paraId="000000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Compliance and Security</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our challenges and opportunities in the compliance area remain the same. We added security as an investment area in this year’s update, along with our challenges and goals in this area.</w:t>
      </w:r>
    </w:p>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we set out in our three-year vision last year, we are making progress in several compliance and audit areas. We built the base platform for Standard Audit File for Tax (SAF-T), an international compliance standard for electronic exchange of tax and accounting data with authorities. We launched the first version of Compliance Central, a centralized platform for statistical reporting. We iterated on our tax compliance solutions along with Seed, a self-service tax rules engine, to enable Tax to keep pace with emerging compliance requirements. </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are learning about increasing needs for a global three-way reconciliation between tax, accounting, and invoicing data, and updated our strategy to reflect additional investments in this area. We revised our strategy for electronic submission, to leverage learnings from our work on SAF-T and comply first time, before investing to build a new in-house solution.</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launched new versions of our compliance monitoring and GRC products, Delta 2.0 and GRC 2.0 respectively. We acquired new customers such as the AWS FedRamp compliance team for Delta, and CDO Infosec and AWS World Wide Public Sector for GRC.</w:t>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Automation</w:t>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2020, we eliminated 1.2K (7.5% of 16K entries per month) manual journal entries (MJEs) and 32.5K hours of yearly manual effort across FGBS. We onboarded a total of 14.3K of 21.3K (67%) reconciliations across FOAA and Accounting. We delivered the Cash Flow Optimization and Automation FGBS goals. We replaced Oracle Hyperion Profitability and Cost Management using Spectra, launched 2.4K allocations, onboarded six reserves and three rates ($899MM), and delivered re-class capabilities, including self-service configuration and booking of balance sheet and income statement re-classes.</w:t>
      </w:r>
    </w:p>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our last 3YP, we acknowledged that our existing tools offer use-case specific self-service capabilities and learned that we need to accelerate the pace of (manual journal entry) MJE automation to address our customer pain points. Amazon’s growth outpaced automation progress, with MJEs growing at 30% annually. This limited extensibility to broader MJE use cases and scaling business processes and launches. Further, building multiple tools and tool specific features, such as user experience, reporting capabilities, and analytics, required users to learn each tool separately, adding to the onboarding friction. To improve self-service, avoid duplication of engineering work, and minimize technology teams’ intervention in MJE onboarding, we need a simpler approach. On the process side, we identified multiple opportunities to improve our customer engagements, improve requirements gathering processes, and streamline our intake process.</w:t>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A5">
      <w:pPr>
        <w:rPr/>
      </w:pPr>
      <w:r w:rsidDel="00000000" w:rsidR="00000000" w:rsidRPr="00000000">
        <w:rPr>
          <w:rtl w:val="0"/>
        </w:rPr>
        <w:t xml:space="preserve">Since our last three-year plan, we revised our data strategy from mass data onboarding by finance applications to solve for business use cases and strategic programs. Our new focus is to onboard select data to FDV with minimum latency to support tactical projects while making long-term infrastructure investments for authoritative data publishing and discovery. We will collaborate with Finance &amp; Global Business Services (FGBS) stakeholders to prioritize data onboarding based on business impact, controllership risk, and scalability challenges to maximize gains for FGBS. </w:t>
      </w:r>
    </w:p>
    <w:p w:rsidR="00000000" w:rsidDel="00000000" w:rsidP="00000000" w:rsidRDefault="00000000" w:rsidRPr="00000000" w14:paraId="000000A6">
      <w:pPr>
        <w:rPr/>
      </w:pPr>
      <w:r w:rsidDel="00000000" w:rsidR="00000000" w:rsidRPr="00000000">
        <w:rPr>
          <w:rtl w:val="0"/>
        </w:rPr>
        <w:t xml:space="preserve">In March 2021, we completed an Anvil Red Certification to host critical finance datasets and onboarded 60+ OFA datasets to achieve an average TP90 latency of 30 minutes. Blackline integration, as part of project Total Reconciliation and Close Management Engine, was the first completed use case to consume data from FDV. </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People</w:t>
      </w:r>
    </w:p>
    <w:p w:rsidR="00000000" w:rsidDel="00000000" w:rsidP="00000000" w:rsidRDefault="00000000" w:rsidRPr="00000000" w14:paraId="000000A8">
      <w:pPr>
        <w:keepLines w:val="1"/>
        <w:rPr/>
      </w:pPr>
      <w:r w:rsidDel="00000000" w:rsidR="00000000" w:rsidRPr="00000000">
        <w:rPr>
          <w:rtl w:val="0"/>
        </w:rPr>
        <w:t xml:space="preserve">Investing in our people is fundamental to deliver on our 3YP. We will continue building and sustaining a technical organization that will enable us to innovate and scale to meet Amazon’s growth. Our current challenges are hiring diverse talent and Principal Engineers (PEs). We did not make progress in hiring Black leaders or individual contributors (ICs) and are not on track to hire two PEs in 2021, which we set out as goals in last year’s 3YP. We improved our female and LatinX populations but need to continue to do more. We improved in hiring diverse tech leaders, increasing from five to ten.</w:t>
      </w:r>
    </w:p>
    <w:p w:rsidR="00000000" w:rsidDel="00000000" w:rsidP="00000000" w:rsidRDefault="00000000" w:rsidRPr="00000000" w14:paraId="000000A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hired three senior SDMs from AWS and Alexa and two industry senior SDMs, including a female leader. Our L6 ICs in Software Development (SDE) and Data Engineering (DE) job families increased from nine to 20. We promoted 21% of our L4 talent and developed 6% of L5s to L6s across all our job families. We promoted two L6 managers to L7 Senior Managers. We provided management opportunities to our ICs with ambitions in that career path and lateraled seven ICs to managers. We will continue to provide opportunities for individuals with lateral growth while maintaining Amazon’s high bar for these changes. We stabilized our talent outflow, decreasing our trailing twelve month (TTM) transfer-out rate from 29.9% to 19.1% and are at balance with transfers-out and transfers-in. Our TTM transfer-out rate is now below the peer tech benchmark of 25%.</w:t>
      </w:r>
      <w:r w:rsidDel="00000000" w:rsidR="00000000" w:rsidRPr="00000000">
        <w:br w:type="page"/>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color="000000" w:space="0" w:sz="4" w:val="single"/>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D: FinTech Initiatives that Require Customer Support</w:t>
      </w:r>
    </w:p>
    <w:tbl>
      <w:tblPr>
        <w:tblStyle w:val="Table1"/>
        <w:tblW w:w="10248.000000000002" w:type="dxa"/>
        <w:jc w:val="left"/>
        <w:tblLayout w:type="fixed"/>
        <w:tblLook w:val="0400"/>
      </w:tblPr>
      <w:tblGrid>
        <w:gridCol w:w="485"/>
        <w:gridCol w:w="2563"/>
        <w:gridCol w:w="3024"/>
        <w:gridCol w:w="2016"/>
        <w:gridCol w:w="2160"/>
        <w:tblGridChange w:id="0">
          <w:tblGrid>
            <w:gridCol w:w="485"/>
            <w:gridCol w:w="2563"/>
            <w:gridCol w:w="3024"/>
            <w:gridCol w:w="2016"/>
            <w:gridCol w:w="2160"/>
          </w:tblGrid>
        </w:tblGridChange>
      </w:tblGrid>
      <w:tr>
        <w:trPr>
          <w:cantSplit w:val="0"/>
          <w:trHeight w:val="545" w:hRule="atLeast"/>
          <w:tblHeader w:val="0"/>
        </w:trPr>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0AB">
            <w:pPr>
              <w:jc w:val="right"/>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0AC">
            <w:pPr>
              <w:rPr/>
            </w:pPr>
            <w:r w:rsidDel="00000000" w:rsidR="00000000" w:rsidRPr="00000000">
              <w:rPr>
                <w:b w:val="1"/>
                <w:bCs w:val="1"/>
                <w:color w:val="000000"/>
                <w:rtl w:val="0"/>
              </w:rPr>
              <w:t xml:space="preserve">Project</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0AD">
            <w:pPr>
              <w:rPr/>
            </w:pPr>
            <w:r w:rsidDel="00000000" w:rsidR="00000000" w:rsidRPr="00000000">
              <w:rPr>
                <w:b w:val="1"/>
                <w:bCs w:val="1"/>
                <w:color w:val="000000"/>
                <w:rtl w:val="0"/>
              </w:rPr>
              <w:t xml:space="preserve">Testing Support Timeframe</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0AE">
            <w:pPr>
              <w:rPr/>
            </w:pPr>
            <w:r w:rsidDel="00000000" w:rsidR="00000000" w:rsidRPr="00000000">
              <w:rPr>
                <w:b w:val="1"/>
                <w:bCs w:val="1"/>
                <w:color w:val="000000"/>
                <w:rtl w:val="0"/>
              </w:rPr>
              <w:t xml:space="preserve">FinTech Owner</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vAlign w:val="bottom"/>
          </w:tcPr>
          <w:p w:rsidR="00000000" w:rsidDel="00000000" w:rsidP="00000000" w:rsidRDefault="00000000" w:rsidRPr="00000000" w14:paraId="000000AF">
            <w:pPr>
              <w:rPr>
                <w:b w:val="1"/>
                <w:bCs w:val="1"/>
                <w:color w:val="000000"/>
              </w:rPr>
            </w:pPr>
            <w:r w:rsidDel="00000000" w:rsidR="00000000" w:rsidRPr="00000000">
              <w:rPr>
                <w:b w:val="1"/>
                <w:bCs w:val="1"/>
                <w:color w:val="000000"/>
                <w:rtl w:val="0"/>
              </w:rPr>
              <w:t xml:space="preserve">Impacted Customers</w:t>
            </w:r>
          </w:p>
        </w:tc>
      </w:tr>
      <w:tr>
        <w:trPr>
          <w:cantSplit w:val="0"/>
          <w:trHeight w:val="111" w:hRule="atLeast"/>
          <w:tblHeader w:val="0"/>
        </w:trPr>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0B0">
            <w:pPr>
              <w:rPr>
                <w:sz w:val="2"/>
                <w:szCs w:val="2"/>
              </w:rPr>
            </w:pPr>
            <w:r w:rsidDel="00000000" w:rsidR="00000000" w:rsidRPr="00000000">
              <w:rPr>
                <w:rtl w:val="0"/>
              </w:rPr>
            </w:r>
          </w:p>
        </w:tc>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0B1">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0B2">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000000" w:space="0" w:sz="0" w:val="nil"/>
            </w:tcBorders>
            <w:tcMar>
              <w:top w:w="15.0" w:type="dxa"/>
              <w:left w:w="15.0" w:type="dxa"/>
              <w:bottom w:w="0.0" w:type="dxa"/>
              <w:right w:w="15.0" w:type="dxa"/>
            </w:tcMar>
          </w:tcPr>
          <w:p w:rsidR="00000000" w:rsidDel="00000000" w:rsidP="00000000" w:rsidRDefault="00000000" w:rsidRPr="00000000" w14:paraId="000000B3">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000000" w:space="0" w:sz="0" w:val="nil"/>
            </w:tcBorders>
          </w:tcPr>
          <w:p w:rsidR="00000000" w:rsidDel="00000000" w:rsidP="00000000" w:rsidRDefault="00000000" w:rsidRPr="00000000" w14:paraId="000000B4">
            <w:pPr>
              <w:rPr>
                <w:b w:val="1"/>
                <w:bCs w:val="1"/>
                <w:color w:val="000000"/>
                <w:sz w:val="2"/>
                <w:szCs w:val="2"/>
              </w:rPr>
            </w:pPr>
            <w:r w:rsidDel="00000000" w:rsidR="00000000" w:rsidRPr="00000000">
              <w:rPr>
                <w:rtl w:val="0"/>
              </w:rPr>
            </w:r>
          </w:p>
        </w:tc>
      </w:tr>
      <w:tr>
        <w:trPr>
          <w:cantSplit w:val="0"/>
          <w:trHeight w:val="78" w:hRule="atLeast"/>
          <w:tblHeader w:val="0"/>
        </w:trPr>
        <w:tc>
          <w:tcPr>
            <w:tcBorders>
              <w:top w:color="ffffff" w:space="0" w:sz="12" w:val="single"/>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B5">
            <w:pPr>
              <w:jc w:val="right"/>
              <w:rPr>
                <w:rFonts w:ascii="Calibri" w:cs="Calibri" w:eastAsia="Calibri" w:hAnsi="Calibri"/>
              </w:rPr>
            </w:pPr>
            <w:r w:rsidDel="00000000" w:rsidR="00000000" w:rsidRPr="00000000">
              <w:rPr>
                <w:rtl w:val="0"/>
              </w:rPr>
              <w:t xml:space="preserve">01 </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B6">
            <w:pPr>
              <w:rPr/>
            </w:pPr>
            <w:r w:rsidDel="00000000" w:rsidR="00000000" w:rsidRPr="00000000">
              <w:rPr>
                <w:rtl w:val="0"/>
              </w:rPr>
              <w:t xml:space="preserve">GRC 2.0</w:t>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B7">
            <w:pPr>
              <w:rPr/>
            </w:pPr>
            <w:r w:rsidDel="00000000" w:rsidR="00000000" w:rsidRPr="00000000">
              <w:rPr>
                <w:color w:val="131a22"/>
                <w:rtl w:val="0"/>
              </w:rPr>
              <w:t xml:space="preserve">Q3 2021</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B8">
            <w:pPr>
              <w:rPr/>
            </w:pPr>
            <w:r w:rsidDel="00000000" w:rsidR="00000000" w:rsidRPr="00000000">
              <w:rPr>
                <w:color w:val="131a22"/>
                <w:rtl w:val="0"/>
              </w:rPr>
              <w:t xml:space="preserve">Mukund Sundararajan</w:t>
            </w:r>
            <w:r w:rsidDel="00000000" w:rsidR="00000000" w:rsidRPr="00000000">
              <w:rPr>
                <w:rtl w:val="0"/>
              </w:rPr>
            </w:r>
          </w:p>
        </w:tc>
        <w:tc>
          <w:tcPr>
            <w:tcBorders>
              <w:top w:color="ffffff" w:space="0" w:sz="12" w:val="single"/>
              <w:left w:color="a6a6a6" w:space="0" w:sz="4" w:val="single"/>
              <w:bottom w:color="a6a6a6" w:space="0" w:sz="8" w:val="single"/>
              <w:right w:color="a6a6a6" w:space="0" w:sz="4" w:val="single"/>
            </w:tcBorders>
            <w:shd w:fill="auto" w:val="clear"/>
          </w:tcPr>
          <w:p w:rsidR="00000000" w:rsidDel="00000000" w:rsidP="00000000" w:rsidRDefault="00000000" w:rsidRPr="00000000" w14:paraId="000000B9">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BA">
            <w:pPr>
              <w:spacing w:after="0" w:lineRule="auto"/>
              <w:rPr>
                <w:color w:val="131a22"/>
              </w:rPr>
            </w:pPr>
            <w:r w:rsidDel="00000000" w:rsidR="00000000" w:rsidRPr="00000000">
              <w:rPr>
                <w:color w:val="131a22"/>
                <w:rtl w:val="0"/>
              </w:rPr>
              <w:t xml:space="preserve">Ops Finance</w:t>
            </w:r>
          </w:p>
          <w:p w:rsidR="00000000" w:rsidDel="00000000" w:rsidP="00000000" w:rsidRDefault="00000000" w:rsidRPr="00000000" w14:paraId="000000BB">
            <w:pPr>
              <w:rPr>
                <w:color w:val="131a22"/>
              </w:rPr>
            </w:pPr>
            <w:r w:rsidDel="00000000" w:rsidR="00000000" w:rsidRPr="00000000">
              <w:rPr>
                <w:color w:val="131a22"/>
                <w:rtl w:val="0"/>
              </w:rPr>
              <w:t xml:space="preserve">Denied Party Screening </w:t>
            </w:r>
          </w:p>
        </w:tc>
      </w:tr>
      <w:tr>
        <w:trPr>
          <w:cantSplit w:val="0"/>
          <w:trHeight w:val="74" w:hRule="atLeast"/>
          <w:tblHeader w:val="0"/>
        </w:trPr>
        <w:tc>
          <w:tcPr>
            <w:tcBorders>
              <w:top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BC">
            <w:pPr>
              <w:jc w:val="right"/>
              <w:rPr/>
            </w:pPr>
            <w:r w:rsidDel="00000000" w:rsidR="00000000" w:rsidRPr="00000000">
              <w:rPr>
                <w:rtl w:val="0"/>
              </w:rPr>
              <w:t xml:space="preserve">02</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BD">
            <w:pPr>
              <w:rPr/>
            </w:pPr>
            <w:r w:rsidDel="00000000" w:rsidR="00000000" w:rsidRPr="00000000">
              <w:rPr>
                <w:rtl w:val="0"/>
              </w:rPr>
              <w:t xml:space="preserve">OBIEE Deprecation </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BE">
            <w:pPr>
              <w:rPr>
                <w:color w:val="131a22"/>
              </w:rPr>
            </w:pPr>
            <w:r w:rsidDel="00000000" w:rsidR="00000000" w:rsidRPr="00000000">
              <w:rPr>
                <w:color w:val="131a22"/>
                <w:rtl w:val="0"/>
              </w:rPr>
              <w:t xml:space="preserve">Q3 2021 – Q4 2021</w:t>
            </w:r>
          </w:p>
        </w:tc>
        <w:tc>
          <w:tcPr>
            <w:tcBorders>
              <w:top w:color="000000" w:space="0" w:sz="0" w:val="nil"/>
              <w:left w:color="000000" w:space="0" w:sz="0" w:val="nil"/>
              <w:bottom w:color="a6a6a6" w:space="0" w:sz="8"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BF">
            <w:pPr>
              <w:rPr>
                <w:color w:val="131a22"/>
              </w:rPr>
            </w:pPr>
            <w:r w:rsidDel="00000000" w:rsidR="00000000" w:rsidRPr="00000000">
              <w:rPr>
                <w:color w:val="131a22"/>
                <w:rtl w:val="0"/>
              </w:rPr>
              <w:t xml:space="preserve">Keith Weiss</w:t>
            </w:r>
          </w:p>
        </w:tc>
        <w:tc>
          <w:tcPr>
            <w:tcBorders>
              <w:top w:color="a6a6a6" w:space="0" w:sz="8" w:val="single"/>
              <w:left w:color="a6a6a6" w:space="0" w:sz="4" w:val="single"/>
              <w:bottom w:color="a6a6a6" w:space="0" w:sz="8" w:val="single"/>
              <w:right w:color="a6a6a6" w:space="0" w:sz="4" w:val="single"/>
            </w:tcBorders>
            <w:shd w:fill="f2f2f2" w:val="clear"/>
          </w:tcPr>
          <w:p w:rsidR="00000000" w:rsidDel="00000000" w:rsidP="00000000" w:rsidRDefault="00000000" w:rsidRPr="00000000" w14:paraId="000000C0">
            <w:pPr>
              <w:rPr>
                <w:color w:val="131a22"/>
              </w:rPr>
            </w:pPr>
            <w:r w:rsidDel="00000000" w:rsidR="00000000" w:rsidRPr="00000000">
              <w:rPr>
                <w:color w:val="131a22"/>
                <w:rtl w:val="0"/>
              </w:rPr>
              <w:t xml:space="preserve">All FGBS</w:t>
            </w:r>
          </w:p>
        </w:tc>
      </w:tr>
      <w:tr>
        <w:trPr>
          <w:cantSplit w:val="0"/>
          <w:trHeight w:val="74" w:hRule="atLeast"/>
          <w:tblHeader w:val="0"/>
        </w:trPr>
        <w:tc>
          <w:tcPr>
            <w:tcBorders>
              <w:top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C1">
            <w:pPr>
              <w:jc w:val="right"/>
              <w:rPr/>
            </w:pPr>
            <w:r w:rsidDel="00000000" w:rsidR="00000000" w:rsidRPr="00000000">
              <w:rPr>
                <w:rtl w:val="0"/>
              </w:rPr>
              <w:t xml:space="preserve">03</w:t>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C2">
            <w:pPr>
              <w:rPr/>
            </w:pPr>
            <w:r w:rsidDel="00000000" w:rsidR="00000000" w:rsidRPr="00000000">
              <w:rPr>
                <w:rtl w:val="0"/>
              </w:rPr>
              <w:t xml:space="preserve">Finance Data Vault (FDV)</w:t>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C3">
            <w:pPr>
              <w:rPr>
                <w:color w:val="131a22"/>
              </w:rPr>
            </w:pPr>
            <w:r w:rsidDel="00000000" w:rsidR="00000000" w:rsidRPr="00000000">
              <w:rPr>
                <w:color w:val="131a22"/>
                <w:rtl w:val="0"/>
              </w:rPr>
              <w:t xml:space="preserve">Q3 2021 – Q4 2021</w:t>
            </w:r>
          </w:p>
        </w:tc>
        <w:tc>
          <w:tcPr>
            <w:tcBorders>
              <w:top w:color="000000" w:space="0" w:sz="0" w:val="nil"/>
              <w:left w:color="000000" w:space="0" w:sz="0" w:val="nil"/>
              <w:bottom w:color="a6a6a6" w:space="0" w:sz="8"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C4">
            <w:pPr>
              <w:rPr>
                <w:color w:val="131a22"/>
              </w:rPr>
            </w:pPr>
            <w:r w:rsidDel="00000000" w:rsidR="00000000" w:rsidRPr="00000000">
              <w:rPr>
                <w:color w:val="131a22"/>
                <w:rtl w:val="0"/>
              </w:rPr>
              <w:t xml:space="preserve">Fareedh Meeran</w:t>
            </w:r>
          </w:p>
        </w:tc>
        <w:tc>
          <w:tcPr>
            <w:tcBorders>
              <w:top w:color="a6a6a6" w:space="0" w:sz="8" w:val="single"/>
              <w:left w:color="a6a6a6" w:space="0" w:sz="4" w:val="single"/>
              <w:bottom w:color="a6a6a6" w:space="0" w:sz="8" w:val="single"/>
              <w:right w:color="a6a6a6" w:space="0" w:sz="4" w:val="single"/>
            </w:tcBorders>
            <w:shd w:fill="auto" w:val="clear"/>
          </w:tcPr>
          <w:p w:rsidR="00000000" w:rsidDel="00000000" w:rsidP="00000000" w:rsidRDefault="00000000" w:rsidRPr="00000000" w14:paraId="000000C5">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C6">
            <w:pPr>
              <w:rPr>
                <w:color w:val="131a22"/>
              </w:rPr>
            </w:pPr>
            <w:r w:rsidDel="00000000" w:rsidR="00000000" w:rsidRPr="00000000">
              <w:rPr>
                <w:color w:val="131a22"/>
                <w:rtl w:val="0"/>
              </w:rPr>
              <w:t xml:space="preserve">Future customers TBD</w:t>
            </w:r>
          </w:p>
        </w:tc>
      </w:tr>
      <w:tr>
        <w:trPr>
          <w:cantSplit w:val="0"/>
          <w:trHeight w:val="74" w:hRule="atLeast"/>
          <w:tblHeader w:val="0"/>
        </w:trPr>
        <w:tc>
          <w:tcPr>
            <w:tcBorders>
              <w:top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C7">
            <w:pPr>
              <w:jc w:val="right"/>
              <w:rPr/>
            </w:pPr>
            <w:r w:rsidDel="00000000" w:rsidR="00000000" w:rsidRPr="00000000">
              <w:rPr>
                <w:rtl w:val="0"/>
              </w:rPr>
              <w:t xml:space="preserve">04</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C8">
            <w:pPr>
              <w:rPr/>
            </w:pPr>
            <w:r w:rsidDel="00000000" w:rsidR="00000000" w:rsidRPr="00000000">
              <w:rPr>
                <w:rtl w:val="0"/>
              </w:rPr>
              <w:t xml:space="preserve">OFA Hardware Upgrade</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C9">
            <w:pPr>
              <w:rPr>
                <w:color w:val="131a22"/>
              </w:rPr>
            </w:pPr>
            <w:r w:rsidDel="00000000" w:rsidR="00000000" w:rsidRPr="00000000">
              <w:rPr>
                <w:color w:val="131a22"/>
                <w:rtl w:val="0"/>
              </w:rPr>
              <w:t xml:space="preserve">Q4 2021</w:t>
            </w:r>
          </w:p>
        </w:tc>
        <w:tc>
          <w:tcPr>
            <w:tcBorders>
              <w:top w:color="000000" w:space="0" w:sz="0" w:val="nil"/>
              <w:left w:color="000000" w:space="0" w:sz="0" w:val="nil"/>
              <w:bottom w:color="a6a6a6" w:space="0" w:sz="8"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CA">
            <w:pPr>
              <w:rPr>
                <w:color w:val="131a22"/>
              </w:rPr>
            </w:pPr>
            <w:r w:rsidDel="00000000" w:rsidR="00000000" w:rsidRPr="00000000">
              <w:rPr>
                <w:color w:val="131a22"/>
                <w:rtl w:val="0"/>
              </w:rPr>
              <w:t xml:space="preserve">Suresh Prathipati</w:t>
            </w:r>
          </w:p>
        </w:tc>
        <w:tc>
          <w:tcPr>
            <w:tcBorders>
              <w:top w:color="a6a6a6" w:space="0" w:sz="8" w:val="single"/>
              <w:left w:color="a6a6a6" w:space="0" w:sz="4" w:val="single"/>
              <w:bottom w:color="a6a6a6" w:space="0" w:sz="8" w:val="single"/>
              <w:right w:color="a6a6a6" w:space="0" w:sz="4" w:val="single"/>
            </w:tcBorders>
            <w:shd w:fill="f2f2f2" w:val="clear"/>
          </w:tcPr>
          <w:p w:rsidR="00000000" w:rsidDel="00000000" w:rsidP="00000000" w:rsidRDefault="00000000" w:rsidRPr="00000000" w14:paraId="000000CB">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CC">
            <w:pPr>
              <w:spacing w:after="0" w:lineRule="auto"/>
              <w:rPr>
                <w:color w:val="131a22"/>
              </w:rPr>
            </w:pPr>
            <w:r w:rsidDel="00000000" w:rsidR="00000000" w:rsidRPr="00000000">
              <w:rPr>
                <w:color w:val="131a22"/>
                <w:rtl w:val="0"/>
              </w:rPr>
              <w:t xml:space="preserve">FinOps</w:t>
            </w:r>
          </w:p>
          <w:p w:rsidR="00000000" w:rsidDel="00000000" w:rsidP="00000000" w:rsidRDefault="00000000" w:rsidRPr="00000000" w14:paraId="000000CD">
            <w:pPr>
              <w:rPr>
                <w:color w:val="131a22"/>
              </w:rPr>
            </w:pPr>
            <w:r w:rsidDel="00000000" w:rsidR="00000000" w:rsidRPr="00000000">
              <w:rPr>
                <w:color w:val="131a22"/>
                <w:rtl w:val="0"/>
              </w:rPr>
              <w:t xml:space="preserve">Tax</w:t>
            </w:r>
          </w:p>
        </w:tc>
      </w:tr>
      <w:tr>
        <w:trPr>
          <w:cantSplit w:val="0"/>
          <w:trHeight w:val="74" w:hRule="atLeast"/>
          <w:tblHeader w:val="0"/>
        </w:trPr>
        <w:tc>
          <w:tcPr>
            <w:tcBorders>
              <w:top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CE">
            <w:pPr>
              <w:jc w:val="right"/>
              <w:rPr/>
            </w:pPr>
            <w:r w:rsidDel="00000000" w:rsidR="00000000" w:rsidRPr="00000000">
              <w:rPr>
                <w:rtl w:val="0"/>
              </w:rPr>
              <w:t xml:space="preserve">05</w:t>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CF">
            <w:pPr>
              <w:rPr/>
            </w:pPr>
            <w:r w:rsidDel="00000000" w:rsidR="00000000" w:rsidRPr="00000000">
              <w:rPr>
                <w:rtl w:val="0"/>
              </w:rPr>
              <w:t xml:space="preserve">OFA Database Upgrade</w:t>
            </w:r>
          </w:p>
        </w:tc>
        <w:tc>
          <w:tcPr>
            <w:tcBorders>
              <w:top w:color="000000" w:space="0" w:sz="0" w:val="nil"/>
              <w:left w:color="000000" w:space="0" w:sz="0" w:val="nil"/>
              <w:bottom w:color="a6a6a6" w:space="0" w:sz="8"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D0">
            <w:pPr>
              <w:spacing w:after="0" w:lineRule="auto"/>
              <w:rPr/>
            </w:pPr>
            <w:r w:rsidDel="00000000" w:rsidR="00000000" w:rsidRPr="00000000">
              <w:rPr>
                <w:color w:val="131a22"/>
                <w:rtl w:val="0"/>
              </w:rPr>
              <w:t xml:space="preserve">Q1 2022 (New Target)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D2">
            <w:pPr>
              <w:rPr/>
            </w:pPr>
            <w:r w:rsidDel="00000000" w:rsidR="00000000" w:rsidRPr="00000000">
              <w:rPr>
                <w:color w:val="131a22"/>
                <w:rtl w:val="0"/>
              </w:rPr>
              <w:t xml:space="preserve">Suresh Prathipati</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shd w:fill="auto" w:val="clear"/>
          </w:tcPr>
          <w:p w:rsidR="00000000" w:rsidDel="00000000" w:rsidP="00000000" w:rsidRDefault="00000000" w:rsidRPr="00000000" w14:paraId="000000D3">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D4">
            <w:pPr>
              <w:spacing w:after="0" w:lineRule="auto"/>
              <w:rPr>
                <w:color w:val="131a22"/>
              </w:rPr>
            </w:pPr>
            <w:r w:rsidDel="00000000" w:rsidR="00000000" w:rsidRPr="00000000">
              <w:rPr>
                <w:color w:val="131a22"/>
                <w:rtl w:val="0"/>
              </w:rPr>
              <w:t xml:space="preserve">FinOps</w:t>
            </w:r>
          </w:p>
          <w:p w:rsidR="00000000" w:rsidDel="00000000" w:rsidP="00000000" w:rsidRDefault="00000000" w:rsidRPr="00000000" w14:paraId="000000D5">
            <w:pPr>
              <w:rPr>
                <w:color w:val="131a22"/>
              </w:rPr>
            </w:pPr>
            <w:r w:rsidDel="00000000" w:rsidR="00000000" w:rsidRPr="00000000">
              <w:rPr>
                <w:color w:val="131a22"/>
                <w:rtl w:val="0"/>
              </w:rPr>
              <w:t xml:space="preserve">Tax</w:t>
            </w:r>
          </w:p>
        </w:tc>
      </w:tr>
      <w:tr>
        <w:trPr>
          <w:cantSplit w:val="0"/>
          <w:trHeight w:val="74" w:hRule="atLeast"/>
          <w:tblHeader w:val="0"/>
        </w:trPr>
        <w:tc>
          <w:tcPr>
            <w:tcBorders>
              <w:top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D6">
            <w:pPr>
              <w:jc w:val="right"/>
              <w:rPr/>
            </w:pPr>
            <w:r w:rsidDel="00000000" w:rsidR="00000000" w:rsidRPr="00000000">
              <w:rPr>
                <w:rtl w:val="0"/>
              </w:rPr>
              <w:t xml:space="preserve">06 </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D7">
            <w:pPr>
              <w:rPr/>
            </w:pPr>
            <w:r w:rsidDel="00000000" w:rsidR="00000000" w:rsidRPr="00000000">
              <w:rPr>
                <w:rtl w:val="0"/>
              </w:rPr>
              <w:t xml:space="preserve">OFA Application Upgrade </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0D8">
            <w:pPr>
              <w:spacing w:after="0" w:lineRule="auto"/>
              <w:rPr/>
            </w:pPr>
            <w:r w:rsidDel="00000000" w:rsidR="00000000" w:rsidRPr="00000000">
              <w:rPr>
                <w:color w:val="131a22"/>
                <w:rtl w:val="0"/>
              </w:rPr>
              <w:t xml:space="preserve">Q3 2022 (New Target)</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DA">
            <w:pPr>
              <w:rPr/>
            </w:pPr>
            <w:r w:rsidDel="00000000" w:rsidR="00000000" w:rsidRPr="00000000">
              <w:rPr>
                <w:color w:val="131a22"/>
                <w:rtl w:val="0"/>
              </w:rPr>
              <w:t xml:space="preserve">Suresh Pathipati</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shd w:fill="f2f2f2" w:val="clear"/>
          </w:tcPr>
          <w:p w:rsidR="00000000" w:rsidDel="00000000" w:rsidP="00000000" w:rsidRDefault="00000000" w:rsidRPr="00000000" w14:paraId="000000DB">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DC">
            <w:pPr>
              <w:spacing w:after="0" w:lineRule="auto"/>
              <w:rPr>
                <w:color w:val="131a22"/>
              </w:rPr>
            </w:pPr>
            <w:r w:rsidDel="00000000" w:rsidR="00000000" w:rsidRPr="00000000">
              <w:rPr>
                <w:color w:val="131a22"/>
                <w:rtl w:val="0"/>
              </w:rPr>
              <w:t xml:space="preserve">FinOps</w:t>
            </w:r>
          </w:p>
          <w:p w:rsidR="00000000" w:rsidDel="00000000" w:rsidP="00000000" w:rsidRDefault="00000000" w:rsidRPr="00000000" w14:paraId="000000DD">
            <w:pPr>
              <w:rPr>
                <w:color w:val="131a22"/>
              </w:rPr>
            </w:pPr>
            <w:r w:rsidDel="00000000" w:rsidR="00000000" w:rsidRPr="00000000">
              <w:rPr>
                <w:color w:val="131a22"/>
                <w:rtl w:val="0"/>
              </w:rPr>
              <w:t xml:space="preserve">Tax</w:t>
            </w:r>
          </w:p>
        </w:tc>
      </w:tr>
      <w:tr>
        <w:trPr>
          <w:cantSplit w:val="0"/>
          <w:trHeight w:val="261" w:hRule="atLeast"/>
          <w:tblHeader w:val="0"/>
        </w:trPr>
        <w:tc>
          <w:tcPr>
            <w:tcBorders>
              <w:top w:color="000000" w:space="0" w:sz="0" w:val="nil"/>
              <w:bottom w:color="a6a6a6" w:space="0" w:sz="4"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DE">
            <w:pPr>
              <w:jc w:val="right"/>
              <w:rPr/>
            </w:pPr>
            <w:r w:rsidDel="00000000" w:rsidR="00000000" w:rsidRPr="00000000">
              <w:rPr>
                <w:rtl w:val="0"/>
              </w:rPr>
              <w:t xml:space="preserve">07</w:t>
            </w:r>
          </w:p>
        </w:tc>
        <w:tc>
          <w:tcPr>
            <w:tcBorders>
              <w:top w:color="000000" w:space="0" w:sz="0" w:val="nil"/>
              <w:left w:color="000000" w:space="0" w:sz="0" w:val="nil"/>
              <w:bottom w:color="a6a6a6" w:space="0" w:sz="4"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DF">
            <w:pPr>
              <w:rPr/>
            </w:pPr>
            <w:r w:rsidDel="00000000" w:rsidR="00000000" w:rsidRPr="00000000">
              <w:rPr>
                <w:rtl w:val="0"/>
              </w:rPr>
              <w:t xml:space="preserve">Standard Audit File for Tax (SAF-T)</w:t>
            </w:r>
          </w:p>
        </w:tc>
        <w:tc>
          <w:tcPr>
            <w:tcBorders>
              <w:top w:color="000000" w:space="0" w:sz="0" w:val="nil"/>
              <w:left w:color="000000" w:space="0" w:sz="0" w:val="nil"/>
              <w:bottom w:color="a6a6a6" w:space="0" w:sz="4" w:val="single"/>
              <w:right w:color="a6a6a6" w:space="0" w:sz="8" w:val="single"/>
            </w:tcBorders>
            <w:shd w:fill="auto" w:val="clear"/>
            <w:tcMar>
              <w:top w:w="15.0" w:type="dxa"/>
              <w:left w:w="15.0" w:type="dxa"/>
              <w:bottom w:w="0.0" w:type="dxa"/>
              <w:right w:w="15.0" w:type="dxa"/>
            </w:tcMar>
          </w:tcPr>
          <w:p w:rsidR="00000000" w:rsidDel="00000000" w:rsidP="00000000" w:rsidRDefault="00000000" w:rsidRPr="00000000" w14:paraId="000000E0">
            <w:pPr>
              <w:rPr>
                <w:color w:val="131a22"/>
              </w:rPr>
            </w:pPr>
            <w:r w:rsidDel="00000000" w:rsidR="00000000" w:rsidRPr="00000000">
              <w:rPr>
                <w:color w:val="131a22"/>
                <w:rtl w:val="0"/>
              </w:rPr>
              <w:t xml:space="preserve">Q3 2021 – Q4 2023</w:t>
            </w:r>
          </w:p>
        </w:tc>
        <w:tc>
          <w:tcPr>
            <w:tcBorders>
              <w:top w:color="000000" w:space="0" w:sz="0" w:val="nil"/>
              <w:left w:color="000000" w:space="0" w:sz="0" w:val="nil"/>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E1">
            <w:pPr>
              <w:rPr>
                <w:color w:val="131a22"/>
              </w:rPr>
            </w:pPr>
            <w:r w:rsidDel="00000000" w:rsidR="00000000" w:rsidRPr="00000000">
              <w:rPr>
                <w:color w:val="131a22"/>
                <w:rtl w:val="0"/>
              </w:rPr>
              <w:t xml:space="preserve">Anand Kuppusamy</w:t>
            </w:r>
          </w:p>
        </w:tc>
        <w:tc>
          <w:tcPr>
            <w:tcBorders>
              <w:top w:color="a6a6a6" w:space="0" w:sz="8"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2">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E3">
            <w:pPr>
              <w:rPr>
                <w:color w:val="131a22"/>
              </w:rPr>
            </w:pPr>
            <w:r w:rsidDel="00000000" w:rsidR="00000000" w:rsidRPr="00000000">
              <w:rPr>
                <w:color w:val="131a22"/>
                <w:rtl w:val="0"/>
              </w:rPr>
              <w:t xml:space="preserve">Tax</w:t>
            </w:r>
          </w:p>
        </w:tc>
      </w:tr>
      <w:tr>
        <w:trPr>
          <w:cantSplit w:val="0"/>
          <w:trHeight w:val="261" w:hRule="atLeast"/>
          <w:tblHeader w:val="0"/>
        </w:trPr>
        <w:tc>
          <w:tcPr>
            <w:tcBorders>
              <w:top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E4">
            <w:pPr>
              <w:jc w:val="right"/>
              <w:rPr/>
            </w:pPr>
            <w:r w:rsidDel="00000000" w:rsidR="00000000" w:rsidRPr="00000000">
              <w:rPr>
                <w:rtl w:val="0"/>
              </w:rPr>
              <w:t xml:space="preserve">08</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E5">
            <w:pPr>
              <w:rPr/>
            </w:pPr>
            <w:r w:rsidDel="00000000" w:rsidR="00000000" w:rsidRPr="00000000">
              <w:rPr>
                <w:rtl w:val="0"/>
              </w:rPr>
              <w:t xml:space="preserve">Fixed Assets </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E6">
            <w:pPr>
              <w:rPr>
                <w:color w:val="131a22"/>
              </w:rPr>
            </w:pPr>
            <w:r w:rsidDel="00000000" w:rsidR="00000000" w:rsidRPr="00000000">
              <w:rPr>
                <w:color w:val="131a22"/>
                <w:rtl w:val="0"/>
              </w:rPr>
              <w:t xml:space="preserve">Q3 2021 – Q4 2024 </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E7">
            <w:pPr>
              <w:rPr>
                <w:color w:val="131a22"/>
              </w:rPr>
            </w:pPr>
            <w:r w:rsidDel="00000000" w:rsidR="00000000" w:rsidRPr="00000000">
              <w:rPr>
                <w:color w:val="131a22"/>
                <w:rtl w:val="0"/>
              </w:rPr>
              <w:t xml:space="preserve">Johnna Hobgood</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8">
            <w:pPr>
              <w:spacing w:after="0" w:lineRule="auto"/>
              <w:rPr>
                <w:color w:val="131a22"/>
              </w:rPr>
            </w:pPr>
            <w:r w:rsidDel="00000000" w:rsidR="00000000" w:rsidRPr="00000000">
              <w:rPr>
                <w:color w:val="131a22"/>
                <w:rtl w:val="0"/>
              </w:rPr>
              <w:t xml:space="preserve">Ops Finance </w:t>
            </w:r>
          </w:p>
          <w:p w:rsidR="00000000" w:rsidDel="00000000" w:rsidP="00000000" w:rsidRDefault="00000000" w:rsidRPr="00000000" w14:paraId="000000E9">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EA">
            <w:pPr>
              <w:rPr>
                <w:color w:val="131a22"/>
              </w:rPr>
            </w:pPr>
            <w:r w:rsidDel="00000000" w:rsidR="00000000" w:rsidRPr="00000000">
              <w:rPr>
                <w:color w:val="131a22"/>
                <w:rtl w:val="0"/>
              </w:rPr>
              <w:t xml:space="preserve">Tax</w:t>
            </w:r>
          </w:p>
        </w:tc>
      </w:tr>
      <w:tr>
        <w:trPr>
          <w:cantSplit w:val="0"/>
          <w:trHeight w:val="261" w:hRule="atLeast"/>
          <w:tblHeader w:val="0"/>
        </w:trPr>
        <w:tc>
          <w:tcPr>
            <w:tcBorders>
              <w:top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EB">
            <w:pPr>
              <w:jc w:val="right"/>
              <w:rPr/>
            </w:pPr>
            <w:r w:rsidDel="00000000" w:rsidR="00000000" w:rsidRPr="00000000">
              <w:rPr>
                <w:rtl w:val="0"/>
              </w:rPr>
              <w:t xml:space="preserve">09 </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EC">
            <w:pPr>
              <w:rPr/>
            </w:pPr>
            <w:r w:rsidDel="00000000" w:rsidR="00000000" w:rsidRPr="00000000">
              <w:rPr>
                <w:rtl w:val="0"/>
              </w:rPr>
              <w:t xml:space="preserve">Month Close Analytics (Magnify)</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ED">
            <w:pPr>
              <w:rPr/>
            </w:pPr>
            <w:r w:rsidDel="00000000" w:rsidR="00000000" w:rsidRPr="00000000">
              <w:rPr>
                <w:rtl w:val="0"/>
              </w:rPr>
              <w:t xml:space="preserve">Q3 2021 – Q4 2024</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EE">
            <w:pPr>
              <w:rPr/>
            </w:pPr>
            <w:r w:rsidDel="00000000" w:rsidR="00000000" w:rsidRPr="00000000">
              <w:rPr>
                <w:rtl w:val="0"/>
              </w:rPr>
              <w:t xml:space="preserve">Yaniv Ackerman</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F">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F0">
            <w:pPr>
              <w:spacing w:after="0" w:lineRule="auto"/>
              <w:rPr>
                <w:color w:val="131a22"/>
              </w:rPr>
            </w:pPr>
            <w:r w:rsidDel="00000000" w:rsidR="00000000" w:rsidRPr="00000000">
              <w:rPr>
                <w:color w:val="131a22"/>
                <w:rtl w:val="0"/>
              </w:rPr>
              <w:t xml:space="preserve">FOAA</w:t>
            </w:r>
          </w:p>
          <w:p w:rsidR="00000000" w:rsidDel="00000000" w:rsidP="00000000" w:rsidRDefault="00000000" w:rsidRPr="00000000" w14:paraId="000000F1">
            <w:pPr>
              <w:rPr>
                <w:color w:val="131a22"/>
              </w:rPr>
            </w:pPr>
            <w:r w:rsidDel="00000000" w:rsidR="00000000" w:rsidRPr="00000000">
              <w:rPr>
                <w:color w:val="131a22"/>
                <w:rtl w:val="0"/>
              </w:rPr>
              <w:t xml:space="preserve">Tax</w:t>
            </w:r>
          </w:p>
        </w:tc>
      </w:tr>
      <w:tr>
        <w:trPr>
          <w:cantSplit w:val="0"/>
          <w:trHeight w:val="261" w:hRule="atLeast"/>
          <w:tblHeader w:val="0"/>
        </w:trPr>
        <w:tc>
          <w:tcPr>
            <w:tcBorders>
              <w:top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F2">
            <w:pPr>
              <w:jc w:val="right"/>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F3">
            <w:pPr>
              <w:rPr/>
            </w:pPr>
            <w:r w:rsidDel="00000000" w:rsidR="00000000" w:rsidRPr="00000000">
              <w:rPr>
                <w:rtl w:val="0"/>
              </w:rPr>
              <w:t xml:space="preserve">AR Convergence (Amigos)</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F4">
            <w:pPr>
              <w:rPr>
                <w:color w:val="131a22"/>
              </w:rPr>
            </w:pPr>
            <w:r w:rsidDel="00000000" w:rsidR="00000000" w:rsidRPr="00000000">
              <w:rPr>
                <w:color w:val="131a22"/>
                <w:rtl w:val="0"/>
              </w:rPr>
              <w:t xml:space="preserve">Q3 2021 – Q4 2024</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0F5">
            <w:pPr>
              <w:rPr>
                <w:color w:val="131a22"/>
              </w:rPr>
            </w:pPr>
            <w:r w:rsidDel="00000000" w:rsidR="00000000" w:rsidRPr="00000000">
              <w:rPr>
                <w:color w:val="131a22"/>
                <w:rtl w:val="0"/>
              </w:rPr>
              <w:t xml:space="preserve">Ramesh Manne</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6">
            <w:pPr>
              <w:spacing w:after="0" w:lineRule="auto"/>
              <w:rPr>
                <w:color w:val="131a22"/>
              </w:rPr>
            </w:pPr>
            <w:r w:rsidDel="00000000" w:rsidR="00000000" w:rsidRPr="00000000">
              <w:rPr>
                <w:color w:val="131a22"/>
                <w:rtl w:val="0"/>
              </w:rPr>
              <w:t xml:space="preserve">FinOps</w:t>
            </w:r>
          </w:p>
          <w:p w:rsidR="00000000" w:rsidDel="00000000" w:rsidP="00000000" w:rsidRDefault="00000000" w:rsidRPr="00000000" w14:paraId="000000F7">
            <w:pPr>
              <w:spacing w:after="0" w:lineRule="auto"/>
              <w:rPr>
                <w:color w:val="131a22"/>
              </w:rPr>
            </w:pPr>
            <w:r w:rsidDel="00000000" w:rsidR="00000000" w:rsidRPr="00000000">
              <w:rPr>
                <w:color w:val="131a22"/>
                <w:rtl w:val="0"/>
              </w:rPr>
              <w:t xml:space="preserve">Tax</w:t>
            </w:r>
          </w:p>
          <w:p w:rsidR="00000000" w:rsidDel="00000000" w:rsidP="00000000" w:rsidRDefault="00000000" w:rsidRPr="00000000" w14:paraId="000000F8">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F9">
            <w:pPr>
              <w:rPr>
                <w:color w:val="131a22"/>
              </w:rPr>
            </w:pPr>
            <w:r w:rsidDel="00000000" w:rsidR="00000000" w:rsidRPr="00000000">
              <w:rPr>
                <w:color w:val="131a22"/>
                <w:rtl w:val="0"/>
              </w:rPr>
              <w:t xml:space="preserve">eCFI</w:t>
            </w:r>
          </w:p>
        </w:tc>
      </w:tr>
      <w:tr>
        <w:trPr>
          <w:cantSplit w:val="0"/>
          <w:trHeight w:val="261" w:hRule="atLeast"/>
          <w:tblHeader w:val="0"/>
        </w:trPr>
        <w:tc>
          <w:tcPr>
            <w:tcBorders>
              <w:top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FA">
            <w:pPr>
              <w:jc w:val="right"/>
              <w:rPr/>
            </w:pPr>
            <w:r w:rsidDel="00000000" w:rsidR="00000000" w:rsidRPr="00000000">
              <w:rPr>
                <w:rtl w:val="0"/>
              </w:rPr>
              <w:t xml:space="preserve">11</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FB">
            <w:pPr>
              <w:rPr/>
            </w:pPr>
            <w:r w:rsidDel="00000000" w:rsidR="00000000" w:rsidRPr="00000000">
              <w:rPr>
                <w:rtl w:val="0"/>
              </w:rPr>
              <w:t xml:space="preserve">Intercompany</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FC">
            <w:pPr>
              <w:rPr>
                <w:color w:val="131a22"/>
              </w:rPr>
            </w:pPr>
            <w:r w:rsidDel="00000000" w:rsidR="00000000" w:rsidRPr="00000000">
              <w:rPr>
                <w:color w:val="131a22"/>
                <w:rtl w:val="0"/>
              </w:rPr>
              <w:t xml:space="preserve">Q4 2021 – Q4 2024</w:t>
            </w:r>
          </w:p>
        </w:tc>
        <w:tc>
          <w:tcPr>
            <w:tcBorders>
              <w:top w:color="a6a6a6" w:space="0" w:sz="4" w:val="single"/>
              <w:left w:color="a6a6a6" w:space="0" w:sz="4" w:val="single"/>
              <w:bottom w:color="a6a6a6" w:space="0" w:sz="4" w:val="single"/>
              <w:right w:color="a6a6a6" w:space="0" w:sz="4" w:val="single"/>
            </w:tcBorders>
            <w:shd w:fill="auto" w:val="clear"/>
            <w:tcMar>
              <w:top w:w="15.0" w:type="dxa"/>
              <w:left w:w="15.0" w:type="dxa"/>
              <w:bottom w:w="0.0" w:type="dxa"/>
              <w:right w:w="15.0" w:type="dxa"/>
            </w:tcMar>
          </w:tcPr>
          <w:p w:rsidR="00000000" w:rsidDel="00000000" w:rsidP="00000000" w:rsidRDefault="00000000" w:rsidRPr="00000000" w14:paraId="000000FD">
            <w:pPr>
              <w:rPr>
                <w:color w:val="131a22"/>
              </w:rPr>
            </w:pPr>
            <w:r w:rsidDel="00000000" w:rsidR="00000000" w:rsidRPr="00000000">
              <w:rPr>
                <w:color w:val="131a22"/>
                <w:rtl w:val="0"/>
              </w:rPr>
              <w:t xml:space="preserve">Anand Kuppusamy</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E">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0FF">
            <w:pPr>
              <w:spacing w:after="0" w:lineRule="auto"/>
              <w:rPr>
                <w:color w:val="131a22"/>
              </w:rPr>
            </w:pPr>
            <w:r w:rsidDel="00000000" w:rsidR="00000000" w:rsidRPr="00000000">
              <w:rPr>
                <w:color w:val="131a22"/>
                <w:rtl w:val="0"/>
              </w:rPr>
              <w:t xml:space="preserve">Tax</w:t>
            </w:r>
          </w:p>
          <w:p w:rsidR="00000000" w:rsidDel="00000000" w:rsidP="00000000" w:rsidRDefault="00000000" w:rsidRPr="00000000" w14:paraId="00000100">
            <w:pPr>
              <w:spacing w:after="0" w:lineRule="auto"/>
              <w:rPr>
                <w:color w:val="131a22"/>
              </w:rPr>
            </w:pPr>
            <w:r w:rsidDel="00000000" w:rsidR="00000000" w:rsidRPr="00000000">
              <w:rPr>
                <w:color w:val="131a22"/>
                <w:rtl w:val="0"/>
              </w:rPr>
              <w:t xml:space="preserve">Tax Engine Artisans (ECF)</w:t>
            </w:r>
          </w:p>
          <w:p w:rsidR="00000000" w:rsidDel="00000000" w:rsidP="00000000" w:rsidRDefault="00000000" w:rsidRPr="00000000" w14:paraId="00000101">
            <w:pPr>
              <w:rPr>
                <w:color w:val="131a22"/>
              </w:rPr>
            </w:pPr>
            <w:r w:rsidDel="00000000" w:rsidR="00000000" w:rsidRPr="00000000">
              <w:rPr>
                <w:color w:val="131a22"/>
                <w:rtl w:val="0"/>
              </w:rPr>
              <w:t xml:space="preserve">Treasury</w:t>
            </w:r>
          </w:p>
        </w:tc>
      </w:tr>
      <w:tr>
        <w:trPr>
          <w:cantSplit w:val="0"/>
          <w:trHeight w:val="261" w:hRule="atLeast"/>
          <w:tblHeader w:val="0"/>
        </w:trPr>
        <w:tc>
          <w:tcPr>
            <w:tcBorders>
              <w:top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02">
            <w:pPr>
              <w:jc w:val="right"/>
              <w:rPr/>
            </w:pPr>
            <w:r w:rsidDel="00000000" w:rsidR="00000000" w:rsidRPr="00000000">
              <w:rPr>
                <w:rtl w:val="0"/>
              </w:rPr>
              <w:t xml:space="preserve">12</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03">
            <w:pPr>
              <w:rPr/>
            </w:pPr>
            <w:r w:rsidDel="00000000" w:rsidR="00000000" w:rsidRPr="00000000">
              <w:rPr>
                <w:rtl w:val="0"/>
              </w:rPr>
              <w:t xml:space="preserve">Teller </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04">
            <w:pPr>
              <w:spacing w:after="0" w:lineRule="auto"/>
              <w:rPr>
                <w:color w:val="131a22"/>
              </w:rPr>
            </w:pPr>
            <w:r w:rsidDel="00000000" w:rsidR="00000000" w:rsidRPr="00000000">
              <w:rPr>
                <w:color w:val="131a22"/>
                <w:rtl w:val="0"/>
              </w:rPr>
              <w:t xml:space="preserve">Q4 2021 – Q4 2024</w:t>
            </w:r>
          </w:p>
          <w:p w:rsidR="00000000" w:rsidDel="00000000" w:rsidP="00000000" w:rsidRDefault="00000000" w:rsidRPr="00000000" w14:paraId="00000105">
            <w:pPr>
              <w:rPr>
                <w:color w:val="131a22"/>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06">
            <w:pPr>
              <w:rPr>
                <w:color w:val="131a22"/>
              </w:rPr>
            </w:pPr>
            <w:r w:rsidDel="00000000" w:rsidR="00000000" w:rsidRPr="00000000">
              <w:rPr>
                <w:color w:val="131a22"/>
                <w:rtl w:val="0"/>
              </w:rPr>
              <w:t xml:space="preserve">Vijay Reddy</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7">
            <w:pPr>
              <w:spacing w:after="0" w:lineRule="auto"/>
              <w:rPr>
                <w:color w:val="131a22"/>
              </w:rPr>
            </w:pPr>
            <w:r w:rsidDel="00000000" w:rsidR="00000000" w:rsidRPr="00000000">
              <w:rPr>
                <w:color w:val="131a22"/>
                <w:rtl w:val="0"/>
              </w:rPr>
              <w:t xml:space="preserve">FinOps</w:t>
            </w:r>
          </w:p>
          <w:p w:rsidR="00000000" w:rsidDel="00000000" w:rsidP="00000000" w:rsidRDefault="00000000" w:rsidRPr="00000000" w14:paraId="00000108">
            <w:pPr>
              <w:spacing w:after="0" w:lineRule="auto"/>
              <w:rPr>
                <w:color w:val="131a22"/>
              </w:rPr>
            </w:pPr>
            <w:r w:rsidDel="00000000" w:rsidR="00000000" w:rsidRPr="00000000">
              <w:rPr>
                <w:color w:val="131a22"/>
                <w:rtl w:val="0"/>
              </w:rPr>
              <w:t xml:space="preserve">Tax</w:t>
            </w:r>
          </w:p>
          <w:p w:rsidR="00000000" w:rsidDel="00000000" w:rsidP="00000000" w:rsidRDefault="00000000" w:rsidRPr="00000000" w14:paraId="00000109">
            <w:pPr>
              <w:spacing w:after="0"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0A">
            <w:pPr>
              <w:spacing w:after="0" w:lineRule="auto"/>
              <w:rPr>
                <w:color w:val="131a22"/>
              </w:rPr>
            </w:pPr>
            <w:r w:rsidDel="00000000" w:rsidR="00000000" w:rsidRPr="00000000">
              <w:rPr>
                <w:color w:val="131a22"/>
                <w:rtl w:val="0"/>
              </w:rPr>
              <w:t xml:space="preserve">Ops Finance</w:t>
            </w:r>
          </w:p>
          <w:p w:rsidR="00000000" w:rsidDel="00000000" w:rsidP="00000000" w:rsidRDefault="00000000" w:rsidRPr="00000000" w14:paraId="0000010B">
            <w:pPr>
              <w:spacing w:after="0" w:lineRule="auto"/>
              <w:rPr>
                <w:color w:val="131a22"/>
              </w:rPr>
            </w:pPr>
            <w:r w:rsidDel="00000000" w:rsidR="00000000" w:rsidRPr="00000000">
              <w:rPr>
                <w:color w:val="131a22"/>
                <w:rtl w:val="0"/>
              </w:rPr>
              <w:t xml:space="preserve">Retail </w:t>
            </w:r>
          </w:p>
          <w:p w:rsidR="00000000" w:rsidDel="00000000" w:rsidP="00000000" w:rsidRDefault="00000000" w:rsidRPr="00000000" w14:paraId="0000010C">
            <w:pPr>
              <w:rPr>
                <w:color w:val="131a22"/>
              </w:rPr>
            </w:pPr>
            <w:r w:rsidDel="00000000" w:rsidR="00000000" w:rsidRPr="00000000">
              <w:rPr>
                <w:color w:val="131a22"/>
                <w:rtl w:val="0"/>
              </w:rPr>
              <w:t xml:space="preserve">Digital</w:t>
            </w:r>
          </w:p>
        </w:tc>
      </w:tr>
    </w:tbl>
    <w:p w:rsidR="00000000" w:rsidDel="00000000" w:rsidP="00000000" w:rsidRDefault="00000000" w:rsidRPr="00000000" w14:paraId="0000010D">
      <w:pPr>
        <w:widowControl w:val="1"/>
        <w:spacing w:after="160" w:line="259" w:lineRule="auto"/>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864" w:top="972" w:left="864" w:right="720" w:header="576" w:footer="461"/>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1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July 22, 2021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Amazon Confidential</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1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July 22, 2021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Amazon Confidential</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b w:val="1"/>
        <w:bCs w:val="1"/>
      </w:rPr>
    </w:pPr>
    <w:r w:rsidDel="00000000" w:rsidR="00000000" w:rsidRPr="00000000">
      <w:rPr>
        <w:b w:val="1"/>
        <w:bCs w:val="1"/>
      </w:rPr>
      <w:drawing>
        <wp:anchor allowOverlap="1" behindDoc="0" distB="0" distT="0" distL="0" distR="0" hidden="0" layoutInCell="1" locked="0" relativeHeight="0" simplePos="0">
          <wp:simplePos x="0" y="0"/>
          <wp:positionH relativeFrom="rightMargin">
            <wp:posOffset>-850264</wp:posOffset>
          </wp:positionH>
          <wp:positionV relativeFrom="topMargin">
            <wp:posOffset>172085</wp:posOffset>
          </wp:positionV>
          <wp:extent cx="877570" cy="365760"/>
          <wp:effectExtent b="0" l="0" r="0" t="0"/>
          <wp:wrapSquare wrapText="bothSides" distB="0" distT="0" distL="0" distR="0"/>
          <wp:docPr descr="/Users/grantwc/Downloads/01_ft_internal_logo_default_1@2x.png" id="3" name="image1.png"/>
          <a:graphic>
            <a:graphicData uri="http://schemas.openxmlformats.org/drawingml/2006/picture">
              <pic:pic>
                <pic:nvPicPr>
                  <pic:cNvPr descr="/Users/grantwc/Downloads/01_ft_internal_logo_default_1@2x.png" id="0" name="image1.png"/>
                  <pic:cNvPicPr preferRelativeResize="0"/>
                </pic:nvPicPr>
                <pic:blipFill>
                  <a:blip r:embed="rId1"/>
                  <a:srcRect b="0" l="0" r="0" t="0"/>
                  <a:stretch>
                    <a:fillRect/>
                  </a:stretch>
                </pic:blipFill>
                <pic:spPr>
                  <a:xfrm>
                    <a:off x="0" y="0"/>
                    <a:ext cx="877570" cy="365760"/>
                  </a:xfrm>
                  <a:prstGeom prst="rect"/>
                  <a:ln/>
                </pic:spPr>
              </pic:pic>
            </a:graphicData>
          </a:graphic>
        </wp:anchor>
      </w:drawing>
    </w:r>
    <w:r w:rsidDel="00000000" w:rsidR="00000000" w:rsidRPr="00000000">
      <w:rPr>
        <w:rtl w:val="0"/>
      </w:rPr>
      <w:t xml:space="preserve">Finance Technology Three-Year Plan (2022 – 2024)</w:t>
    </w:r>
    <w:r w:rsidDel="00000000" w:rsidR="00000000" w:rsidRPr="00000000">
      <w:rPr>
        <w:b w:val="1"/>
        <w:bCs w:val="1"/>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b w:val="1"/>
        <w:bCs w:val="1"/>
      </w:rPr>
    </w:pPr>
    <w:r w:rsidDel="00000000" w:rsidR="00000000" w:rsidRPr="00000000">
      <w:rPr>
        <w:b w:val="1"/>
        <w:bCs w:val="1"/>
      </w:rPr>
      <w:drawing>
        <wp:anchor allowOverlap="1" behindDoc="0" distB="0" distT="0" distL="0" distR="0" hidden="0" layoutInCell="1" locked="0" relativeHeight="0" simplePos="0">
          <wp:simplePos x="0" y="0"/>
          <wp:positionH relativeFrom="rightMargin">
            <wp:posOffset>-850264</wp:posOffset>
          </wp:positionH>
          <wp:positionV relativeFrom="topMargin">
            <wp:posOffset>294508</wp:posOffset>
          </wp:positionV>
          <wp:extent cx="877824" cy="365760"/>
          <wp:effectExtent b="0" l="0" r="0" t="0"/>
          <wp:wrapSquare wrapText="bothSides" distB="0" distT="0" distL="0" distR="0"/>
          <wp:docPr descr="/Users/grantwc/Downloads/01_ft_internal_logo_default_1@2x.png" id="1" name="image1.png"/>
          <a:graphic>
            <a:graphicData uri="http://schemas.openxmlformats.org/drawingml/2006/picture">
              <pic:pic>
                <pic:nvPicPr>
                  <pic:cNvPr descr="/Users/grantwc/Downloads/01_ft_internal_logo_default_1@2x.png" id="0" name="image1.png"/>
                  <pic:cNvPicPr preferRelativeResize="0"/>
                </pic:nvPicPr>
                <pic:blipFill>
                  <a:blip r:embed="rId1"/>
                  <a:srcRect b="0" l="0" r="0" t="0"/>
                  <a:stretch>
                    <a:fillRect/>
                  </a:stretch>
                </pic:blipFill>
                <pic:spPr>
                  <a:xfrm>
                    <a:off x="0" y="0"/>
                    <a:ext cx="877824" cy="365760"/>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widowControl w:val="0"/>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0" w:sz="4" w:val="single"/>
      </w:pBdr>
      <w:spacing w:before="240" w:lineRule="auto"/>
    </w:pPr>
    <w:rPr>
      <w:b w:val="1"/>
      <w:bCs w:val="1"/>
    </w:rPr>
  </w:style>
  <w:style w:type="paragraph" w:styleId="Heading2">
    <w:name w:val="heading 2"/>
    <w:basedOn w:val="Normal"/>
    <w:next w:val="Normal"/>
    <w:pPr>
      <w:keepNext w:val="1"/>
      <w:spacing w:after="0" w:before="120" w:lineRule="auto"/>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spacing w:after="0" w:lineRule="auto"/>
    </w:pPr>
    <w:rPr>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widowControl w:val="1"/>
      <w:spacing w:after="0" w:before="40" w:lineRule="auto"/>
      <w:ind w:left="1152" w:hanging="1152"/>
    </w:pPr>
    <w:rPr>
      <w:rFonts w:ascii="Calibri" w:cs="Calibri" w:eastAsia="Calibri" w:hAnsi="Calibri"/>
      <w:color w:val="1e4d78"/>
      <w:sz w:val="24"/>
      <w:szCs w:val="24"/>
    </w:rPr>
  </w:style>
  <w:style w:type="paragraph" w:styleId="Title">
    <w:name w:val="Title"/>
    <w:basedOn w:val="Normal"/>
    <w:next w:val="Normal"/>
    <w:pPr>
      <w:keepNext w:val="1"/>
      <w:widowControl w:val="1"/>
      <w:pBdr>
        <w:top w:color="dcf8f4" w:space="1" w:sz="12" w:val="single"/>
        <w:left w:color="dcf8f4" w:space="3" w:sz="12" w:val="single"/>
        <w:bottom w:color="dcf8f4" w:space="1" w:sz="12" w:val="single"/>
        <w:right w:color="dcf8f4" w:space="3" w:sz="12" w:val="single"/>
      </w:pBdr>
      <w:shd w:fill="dcf8f4" w:val="clear"/>
      <w:spacing w:after="360" w:before="240" w:lineRule="auto"/>
    </w:pPr>
    <w:rPr>
      <w:rFonts w:ascii="Calibri" w:cs="Calibri" w:eastAsia="Calibri" w:hAnsi="Calibri"/>
      <w:color w:val="232f3e"/>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0x0101008F4ED5233E8BB74DB24D4999C8DD5E9A</vt:lpwstr>
  </property>
</Properties>
</file>