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jc w:val="center"/>
      </w:pPr>
      <w:r>
        <w:rPr>
          <w:b/>
          <w:bCs/>
          <w:color w:val="1F3864"/>
          <w:sz w:val="64"/>
          <w:szCs w:val="64"/>
        </w:rPr>
        <w:t xml:space="preserve">TrustMQTT</w:t>
      </w:r>
    </w:p>
    <w:p>
      <w:pPr>
        <w:spacing w:after="400"/>
        <w:jc w:val="center"/>
      </w:pPr>
      <w:r>
        <w:rPr>
          <w:color w:val="2E5395"/>
          <w:sz w:val="28"/>
          <w:szCs w:val="28"/>
        </w:rPr>
        <w:t xml:space="preserve">Continuous Behavioral Identity Verification for MQTT-Based IoT Networks</w:t>
      </w:r>
    </w:p>
    <w:p>
      <w:pPr>
        <w:spacing w:after="80"/>
        <w:jc w:val="center"/>
      </w:pPr>
      <w:r>
        <w:rPr>
          <w:i/>
          <w:iCs/>
          <w:sz w:val="24"/>
          <w:szCs w:val="24"/>
        </w:rPr>
        <w:t xml:space="preserve">Project Proposal</w:t>
      </w:r>
    </w:p>
    <w:p>
      <w:pPr>
        <w:jc w:val="center"/>
      </w:pPr>
      <w:r>
        <w:rPr>
          <w:color w:val="666666"/>
          <w:sz w:val="20"/>
          <w:szCs w:val="20"/>
        </w:rPr>
        <w:t xml:space="preserve">June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60"/>
      </w:pPr>
      <w:r>
        <w:t xml:space="preserve">MQTT is the dominant publish/subscribe protocol for resource-constrained IoT deployments, but its native security model verifies identity once, at connection time, via static credentials or certificates. A device that authenticates successfully retains that trust for the lifetime of its session, even if its behavior subsequently changes due to compromise, credential theft, or firmware tampering.</w:t>
      </w:r>
    </w:p>
    <w:p>
      <w:pPr>
        <w:spacing w:after="160"/>
      </w:pPr>
      <w:r>
        <w:t xml:space="preserve">TrustMQTT addresses this gap by treating identity as a continuously verified property rather than a one-time gate. The system observes how each device communicates — timing, message size, and MQTT protocol-level behavior — builds a per-device behavioral baseline using unsupervised machine learning, and scores every subsequent interaction against that baseline. Deviations (“drift”) trigger a graduated, broker-enforced response: logging, forced re-authentication, or session quarantine, depending on severity. A background scoring architecture ensures this monitoring adds negligible latency to the message-delivery path.</w:t>
      </w:r>
    </w:p>
    <w:p>
      <w:pPr>
        <w:spacing w:after="160"/>
      </w:pPr>
      <w:r>
        <w:t xml:space="preserve">This proposal positions TrustMQTT against existing research and commercial products, defines the specific MQTT protocol features that distinguish it from generic IoT behavioral analytics, and lays out the system architecture, tools, and evaluation plan needed to build it.</w:t>
      </w:r>
    </w:p>
    <w:p>
      <w:pPr>
        <w:pStyle w:val="Heading1"/>
      </w:pPr>
      <w:r>
        <w:t xml:space="preserve">2. Problem Statement</w:t>
      </w:r>
    </w:p>
    <w:p>
      <w:pPr>
        <w:spacing w:after="160"/>
      </w:pPr>
      <w:r>
        <w:t xml:space="preserve">MQTT brokers (Mosquitto, EMQX, HiveMQ, and others) authenticate clients at CONNECT time using usernames/passwords, client certificates, or tokens. Once a session is established, the broker has no mechanism to detect that the entity on the other end of that session has changed — whether through stolen credentials, a compromised device replaying valid auth, or a man-in-the-middle substitution. Common attack scenarios this enables include:</w:t>
      </w:r>
    </w:p>
    <w:p>
      <w:pPr>
        <w:pStyle w:val="ListParagraph"/>
        <w:numPr>
          <w:ilvl w:val="0"/>
          <w:numId w:val="2"/>
        </w:numPr>
        <w:spacing w:after="80"/>
      </w:pPr>
      <w:r>
        <w:t xml:space="preserve">Credential theft: an attacker extracts valid device credentials and connects using a different client implementation.</w:t>
      </w:r>
    </w:p>
    <w:p>
      <w:pPr>
        <w:pStyle w:val="ListParagraph"/>
        <w:numPr>
          <w:ilvl w:val="0"/>
          <w:numId w:val="2"/>
        </w:numPr>
        <w:spacing w:after="80"/>
      </w:pPr>
      <w:r>
        <w:t xml:space="preserve">Session hijacking: an attacker takes over an established TCP/TLS session and begins publishing on the device's behalf.</w:t>
      </w:r>
    </w:p>
    <w:p>
      <w:pPr>
        <w:pStyle w:val="ListParagraph"/>
        <w:numPr>
          <w:ilvl w:val="0"/>
          <w:numId w:val="2"/>
        </w:numPr>
        <w:spacing w:after="80"/>
      </w:pPr>
      <w:r>
        <w:t xml:space="preserve">Firmware compromise: malware on the device alters its publishing behavior (frequency, payload size, topic targets) while retaining its legitimate credentials.</w:t>
      </w:r>
    </w:p>
    <w:p>
      <w:pPr>
        <w:pStyle w:val="ListParagraph"/>
        <w:numPr>
          <w:ilvl w:val="0"/>
          <w:numId w:val="2"/>
        </w:numPr>
        <w:spacing w:after="80"/>
      </w:pPr>
      <w:r>
        <w:t xml:space="preserve">Reconnaissance: a device or attacker probes broker topology via wildcard subscriptions or system topics it has never legitimately needed.</w:t>
      </w:r>
    </w:p>
    <w:p>
      <w:pPr>
        <w:spacing w:after="160"/>
      </w:pPr>
      <w:r>
        <w:t xml:space="preserve">None of these scenarios require breaking authentication; they exploit the fact that authentication is checked once and trusted indefinitely. A behavioral, continuous-verification layer sitting inside the broker can detect all four without requiring any change to existing device credentials or provisioning workflows.</w:t>
      </w:r>
    </w:p>
    <w:p>
      <w:pPr>
        <w:pStyle w:val="Heading1"/>
      </w:pPr>
      <w:r>
        <w:t xml:space="preserve">3. Related Work and Positioning</w:t>
      </w:r>
    </w:p>
    <w:p>
      <w:pPr>
        <w:spacing w:after="160"/>
      </w:pPr>
      <w:r>
        <w:t xml:space="preserve">Three adjacent bodies of work inform this proposal, summarized below alongside the specific gap TrustMQTT targets in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Tier</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Representative Prior Work</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Gap TrustMQTT Targets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bCs/>
                <w:sz w:val="20"/>
                <w:szCs w:val="20"/>
              </w:rPr>
              <w:t xml:space="preserve">MQTT-specific ML anomaly detection</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val="false"/>
                <w:bCs w:val="false"/>
                <w:sz w:val="20"/>
                <w:szCs w:val="20"/>
              </w:rPr>
              <w:t xml:space="preserve">Edge-broker resource anomaly detection (ESORICS 2025); MQTTEEB-D benchmark (2025); MQTT-IoT-IDS2020-based classifiers; H2O distributed ML for MQTT</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val="false"/>
                <w:bCs w:val="false"/>
                <w:sz w:val="20"/>
                <w:szCs w:val="20"/>
              </w:rPr>
              <w:t xml:space="preserve">Active and recent, but focused on dataset benchmarking and attack classification accuracy — not continuous per-device behavioral drift with enforcement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Generic IoT behavioral fingerprinting / continuous authentication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Human-to-Object (H2O) framework and extensions; TinyML variants; formal requirements surveys (2025); wavelet-based device fingerprinting (2026)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Established, decade-spanning line, but largely protocol-agnostic (timing, packet size, RF) — not MQTT-semantic</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bCs/>
                <w:sz w:val="20"/>
                <w:szCs w:val="20"/>
              </w:rPr>
              <w:t xml:space="preserve">Broker-native production plugin implementations</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val="false"/>
                <w:bCs w:val="false"/>
                <w:sz w:val="20"/>
                <w:szCs w:val="20"/>
              </w:rPr>
              <w:t xml:space="preserve">Edge-integrated anomaly detection (resource-consumption focus only)</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val="false"/>
                <w:bCs w:val="false"/>
                <w:sz w:val="20"/>
                <w:szCs w:val="20"/>
              </w:rPr>
              <w:t xml:space="preserve">Thin. Most systems are external pipelines (sniff traffic → separate ML service), not in-broker plugins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Graduated / zero-trust response systems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Commercial IoT zero-trust platforms (e.g. KeyScaler, Zscaler-style continuous trust scoring)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Exists at the device/network level, but not married to MQTT protocol internals (QoS, topic semantics, session model)</w:t>
            </w:r>
          </w:p>
        </w:tc>
      </w:tr>
    </w:tbl>
    <w:p>
      <w:pPr>
        <w:spacing w:before="200"/>
      </w:pPr>
    </w:p>
    <w:p>
      <w:pPr>
        <w:spacing w:after="160"/>
      </w:pPr>
      <w:r>
        <w:t xml:space="preserve">TrustMQTT's contribution is not the general concept of behavioral, continuous trust scoring — that concept is well established across IoT zero-trust research and commercial platforms. The contribution is applying it natively inside the MQTT broker, using features derived from MQTT's own control packet structure and session model (Tier 1 and 2 in the gap analysis above), which existing protocol-agnostic or external-pipeline systems cannot observe.</w:t>
      </w:r>
    </w:p>
    <w:p>
      <w:pPr>
        <w:pStyle w:val="Heading1"/>
      </w:pPr>
      <w:r>
        <w:t xml:space="preserve">4. System Overview</w:t>
      </w:r>
    </w:p>
    <w:p>
      <w:pPr>
        <w:spacing w:after="160"/>
      </w:pPr>
      <w:r>
        <w:t xml:space="preserve">TrustMQTT consists of four conceptual stages, implemented as a broker plugin plus a decoupled scoring service:</w:t>
      </w:r>
    </w:p>
    <w:p>
      <w:pPr>
        <w:pStyle w:val="ListParagraph"/>
        <w:numPr>
          <w:ilvl w:val="0"/>
          <w:numId w:val="3"/>
        </w:numPr>
        <w:spacing w:after="80"/>
      </w:pPr>
      <w:r>
        <w:rPr>
          <w:b/>
          <w:bCs/>
        </w:rPr>
        <w:t xml:space="preserve">Metadata extraction — </w:t>
      </w:r>
      <w:r>
        <w:t xml:space="preserve">the broker plugin observes CONNECT, PUBLISH, SUBSCRIBE, PINGREQ, and DISCONNECT events and extracts protocol-level metadata without inspecting payload content.</w:t>
      </w:r>
    </w:p>
    <w:p>
      <w:pPr>
        <w:pStyle w:val="ListParagraph"/>
        <w:numPr>
          <w:ilvl w:val="0"/>
          <w:numId w:val="3"/>
        </w:numPr>
        <w:spacing w:after="80"/>
      </w:pPr>
      <w:r>
        <w:rPr>
          <w:b/>
          <w:bCs/>
        </w:rPr>
        <w:t xml:space="preserve">Baseline profiling — </w:t>
      </w:r>
      <w:r>
        <w:t xml:space="preserve">on first safe connection, an unsupervised model (Isolation Forest or One-Class SVM) learns the device's normal behavioral envelope across the feature set defined in Section 5.</w:t>
      </w:r>
    </w:p>
    <w:p>
      <w:pPr>
        <w:pStyle w:val="ListParagraph"/>
        <w:numPr>
          <w:ilvl w:val="0"/>
          <w:numId w:val="3"/>
        </w:numPr>
        <w:spacing w:after="80"/>
      </w:pPr>
      <w:r>
        <w:rPr>
          <w:b/>
          <w:bCs/>
        </w:rPr>
        <w:t xml:space="preserve">Continuous scoring — </w:t>
      </w:r>
      <w:r>
        <w:t xml:space="preserve">every subsequent event is scored against the device's own baseline, producing a per-device drift score normalized to that device's natural variance.</w:t>
      </w:r>
    </w:p>
    <w:p>
      <w:pPr>
        <w:pStyle w:val="ListParagraph"/>
        <w:numPr>
          <w:ilvl w:val="0"/>
          <w:numId w:val="3"/>
        </w:numPr>
        <w:spacing w:after="160"/>
      </w:pPr>
      <w:r>
        <w:rPr>
          <w:b/>
          <w:bCs/>
        </w:rPr>
        <w:t xml:space="preserve">Graduated policy response — </w:t>
      </w:r>
      <w:r>
        <w:t xml:space="preserve">drift scores map to broker-enforced actions ranging from passive logging to session termination, detailed in Section 6.</w:t>
      </w:r>
    </w:p>
    <w:p>
      <w:pPr>
        <w:spacing w:after="160"/>
      </w:pPr>
      <w:r>
        <w:t xml:space="preserve">Critically, the message-delivery path and the scoring path are decoupled. The broker plugin copies metadata into an in-memory queue and immediately forwards the original message to its destination; a separate background worker consumes the queue and performs ML scoring asynchronously. This ensures TrustMQTT cannot become a latency bottleneck or single point of failure for message delivery, even under heavy scoring load.</w:t>
      </w:r>
    </w:p>
    <w:p>
      <w:pPr>
        <w:pStyle w:val="Heading1"/>
      </w:pPr>
      <w:r>
        <w:t xml:space="preserve">5. MQTT-Specific Feature Set</w:t>
      </w:r>
    </w:p>
    <w:p>
      <w:pPr>
        <w:spacing w:after="160"/>
      </w:pPr>
      <w:r>
        <w:t xml:space="preserve">The distinguishing element of TrustMQTT relative to generic IoT behavioral analytics is that its feature set is derived directly from MQTT protocol semantics rather than generic traffic statistics (packet size, frequency) alone. Features are split into session-level (scored at or near CONNECT) and message-level (scored continuously per PUBLISH) tiers, which map naturally onto the graduated response policy in Section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400"/>
        <w:gridCol w:w="14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Feature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MQTT Packet / Field Source</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What It Catches</w:t>
            </w:r>
          </w:p>
        </w:tc>
        <w:tc>
          <w:tcPr>
            <w:tcW w:type="dxa" w:w="1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Model Tier</w:t>
            </w:r>
          </w:p>
        </w:tc>
      </w:tr>
      <w:tr>
        <w:tc>
          <w:tcPr>
            <w:tcW w:type="dxa" w:w="1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bCs/>
                <w:sz w:val="20"/>
                <w:szCs w:val="20"/>
              </w:rPr>
              <w:t xml:space="preserve">CONNECT packet fingerprint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val="false"/>
                <w:bCs w:val="false"/>
                <w:sz w:val="20"/>
                <w:szCs w:val="20"/>
              </w:rPr>
              <w:t xml:space="preserve">CONNECT (protocol version, Clean Session/Start, Will fields, Keep-Alive, MQTT5 properties)</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val="false"/>
                <w:bCs w:val="false"/>
                <w:sz w:val="20"/>
                <w:szCs w:val="20"/>
              </w:rPr>
              <w:t xml:space="preserve">Client impersonation via a different MQTT library/stack than original firmware</w:t>
            </w:r>
          </w:p>
        </w:tc>
        <w:tc>
          <w:tcPr>
            <w:tcW w:type="dxa" w:w="1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val="false"/>
                <w:bCs w:val="false"/>
                <w:sz w:val="20"/>
                <w:szCs w:val="20"/>
              </w:rPr>
              <w:t xml:space="preserve">Session-level</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Subscription topology drift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SUBSCRIBE (topics, order, requested QoS)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Reconnaissance — e.g. a publish-only sensor subscribing to wildcards or $SYS/#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Session-level</w:t>
            </w:r>
          </w:p>
        </w:tc>
      </w:tr>
      <w:tr>
        <w:tc>
          <w:tcPr>
            <w:tcW w:type="dxa" w:w="1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bCs/>
                <w:sz w:val="20"/>
                <w:szCs w:val="20"/>
              </w:rPr>
              <w:t xml:space="preserve">Topic structural fingerprint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val="false"/>
                <w:bCs w:val="false"/>
                <w:sz w:val="20"/>
                <w:szCs w:val="20"/>
              </w:rPr>
              <w:t xml:space="preserve">PUBLISH/SUBSCRIBE topic string structure</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val="false"/>
                <w:bCs w:val="false"/>
                <w:sz w:val="20"/>
                <w:szCs w:val="20"/>
              </w:rPr>
              <w:t xml:space="preserve">Device ID reused under an unfamiliar topic structure (credential theft, lateral movement)</w:t>
            </w:r>
          </w:p>
        </w:tc>
        <w:tc>
          <w:tcPr>
            <w:tcW w:type="dxa" w:w="1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val="false"/>
                <w:bCs w:val="false"/>
                <w:sz w:val="20"/>
                <w:szCs w:val="20"/>
              </w:rPr>
              <w:t xml:space="preserve">Message-level</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PUBLISH flag consistency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PUBLISH header (QoS, Retain, DUP rate)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Inconsistent delivery guarantees; abnormal retransmission patterns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Message-level</w:t>
            </w:r>
          </w:p>
        </w:tc>
      </w:tr>
      <w:tr>
        <w:tc>
          <w:tcPr>
            <w:tcW w:type="dxa" w:w="1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bCs/>
                <w:sz w:val="20"/>
                <w:szCs w:val="20"/>
              </w:rPr>
              <w:t xml:space="preserve">Keep-Alive vs. actual PING cadence</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val="false"/>
                <w:bCs w:val="false"/>
                <w:sz w:val="20"/>
                <w:szCs w:val="20"/>
              </w:rPr>
              <w:t xml:space="preserve">CONNECT (negotiated) + PINGREQ timing</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val="false"/>
                <w:bCs w:val="false"/>
                <w:sz w:val="20"/>
                <w:szCs w:val="20"/>
              </w:rPr>
              <w:t xml:space="preserve">Session hijack with valid credentials but mismatched firmware timer-loop jitter</w:t>
            </w:r>
          </w:p>
        </w:tc>
        <w:tc>
          <w:tcPr>
            <w:tcW w:type="dxa" w:w="1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val="false"/>
                <w:bCs w:val="false"/>
                <w:sz w:val="20"/>
                <w:szCs w:val="20"/>
              </w:rPr>
              <w:t xml:space="preserve">Message-level</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Session resumption behavior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CONNECT + reconnect sequence (Clean Session=false handling)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Firmware change or substituted client handling persistent sessions differently</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Session-level</w:t>
            </w:r>
          </w:p>
        </w:tc>
      </w:tr>
      <w:tr>
        <w:tc>
          <w:tcPr>
            <w:tcW w:type="dxa" w:w="1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bCs/>
                <w:sz w:val="20"/>
                <w:szCs w:val="20"/>
              </w:rPr>
              <w:t xml:space="preserve">QoS handshake timing &amp; packet ID sequencing</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val="false"/>
                <w:bCs w:val="false"/>
                <w:sz w:val="20"/>
                <w:szCs w:val="20"/>
              </w:rPr>
              <w:t xml:space="preserve">PUBACK/PUBREC/PUBREL/PUBCOMP + Packet Identifier</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val="false"/>
                <w:bCs w:val="false"/>
                <w:sz w:val="20"/>
                <w:szCs w:val="20"/>
              </w:rPr>
              <w:t xml:space="preserve">Library-level fingerprint; difficult to spoof without the identical client stack</w:t>
            </w:r>
          </w:p>
        </w:tc>
        <w:tc>
          <w:tcPr>
            <w:tcW w:type="dxa" w:w="1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val="false"/>
                <w:bCs w:val="false"/>
                <w:sz w:val="20"/>
                <w:szCs w:val="20"/>
              </w:rPr>
              <w:t xml:space="preserve">Message-level</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Topic correlation / causality graph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Cross-topic PUBLISH timing across client IDs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Spoofed sensor data with no expected downstream reaction, or silent upstream injection</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Broker-level (graph)</w:t>
            </w:r>
          </w:p>
        </w:tc>
      </w:tr>
      <w:tr>
        <w:tc>
          <w:tcPr>
            <w:tcW w:type="dxa" w:w="1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bCs/>
                <w:sz w:val="20"/>
                <w:szCs w:val="20"/>
              </w:rPr>
              <w:t xml:space="preserve">Last Will &amp; disconnect behavior</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val="false"/>
                <w:bCs w:val="false"/>
                <w:sz w:val="20"/>
                <w:szCs w:val="20"/>
              </w:rPr>
              <w:t xml:space="preserve">CONNECT (Will fields) + DISCONNECT/TCP close type</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val="false"/>
                <w:bCs w:val="false"/>
                <w:sz w:val="20"/>
                <w:szCs w:val="20"/>
              </w:rPr>
              <w:t xml:space="preserve">Abnormal termination patterns signaling compromise or automated response</w:t>
            </w:r>
          </w:p>
        </w:tc>
        <w:tc>
          <w:tcPr>
            <w:tcW w:type="dxa" w:w="1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val="false"/>
                <w:bCs w:val="false"/>
                <w:sz w:val="20"/>
                <w:szCs w:val="20"/>
              </w:rPr>
              <w:t xml:space="preserve">Session-level</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MQTT 5 reason codes &amp; properties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CONNACK/DISCONNECT reason code, User Properties, Response Topic</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Protocol-version-specific fingerprinting, largely unexplored in current literature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Session-level</w:t>
            </w:r>
          </w:p>
        </w:tc>
      </w:tr>
    </w:tbl>
    <w:p>
      <w:pPr>
        <w:spacing w:before="200"/>
      </w:pPr>
    </w:p>
    <w:p>
      <w:pPr>
        <w:pStyle w:val="Heading3"/>
      </w:pPr>
      <w:r>
        <w:t xml:space="preserve">5.1 Phase 2 Extension: Topic Correlation Graph</w:t>
      </w:r>
    </w:p>
    <w:p>
      <w:pPr>
        <w:spacing w:after="160"/>
      </w:pPr>
      <w:r>
        <w:t xml:space="preserve">Beyond per-device features, the broker has visibility into the full publish/subscribe topology — something external, agent-based zero-trust platforms structurally cannot observe. A graph-based feature modeling expected causal latency between a device's publishes and downstream subscriber reactions can detect spoofed sensor data that fails to trigger its normal downstream effect, or silent injection on upstream topics. This is scoped as a phase 2 extension given its implementation complexity relative to the core per-device feature set.</w:t>
      </w:r>
    </w:p>
    <w:p>
      <w:pPr>
        <w:pStyle w:val="Heading1"/>
      </w:pPr>
      <w:r>
        <w:t xml:space="preserve">6. Graduated Policy Response</w:t>
      </w:r>
    </w:p>
    <w:p>
      <w:pPr>
        <w:spacing w:after="160"/>
      </w:pPr>
      <w:r>
        <w:t xml:space="preserve">Rather than binary allow/block enforcement, TrustMQTT escalates its response proportionally to drift severity, minimizing false-positive disruption while still containing genuine compromise quickly.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3200"/>
        <w:gridCol w:w="146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Drift Severity</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Trigger Condition</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Broker Action</w:t>
            </w:r>
          </w:p>
        </w:tc>
        <w:tc>
          <w:tcPr>
            <w:tcW w:type="dxa" w:w="1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Model Source</w:t>
            </w:r>
          </w:p>
        </w:tc>
      </w:tr>
      <w:tr>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bCs/>
                <w:sz w:val="20"/>
                <w:szCs w:val="20"/>
              </w:rPr>
              <w:t xml:space="preserve">Mild</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val="false"/>
                <w:bCs w:val="false"/>
                <w:sz w:val="20"/>
                <w:szCs w:val="20"/>
              </w:rPr>
              <w:t xml:space="preserve">Single-feature deviation within a moderate band of the device's own baseline variance</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val="false"/>
                <w:bCs w:val="false"/>
                <w:sz w:val="20"/>
                <w:szCs w:val="20"/>
              </w:rPr>
              <w:t xml:space="preserve">Log structured alert with feature-level explanation; no service disruption</w:t>
            </w:r>
          </w:p>
        </w:tc>
        <w:tc>
          <w:tcPr>
            <w:tcW w:type="dxa" w:w="1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val="false"/>
                <w:bCs w:val="false"/>
                <w:sz w:val="20"/>
                <w:szCs w:val="20"/>
              </w:rPr>
              <w:t xml:space="preserve">Message-level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Moderate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Sustained or multi-feature deviation (e.g. timing + topic structure both drifting)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Force re-authentication at next CONNECT; session allowed to continue until then</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Session-level</w:t>
            </w:r>
          </w:p>
        </w:tc>
      </w:tr>
      <w:tr>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bCs/>
                <w:sz w:val="20"/>
                <w:szCs w:val="20"/>
              </w:rPr>
              <w:t xml:space="preserve">Severe</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val="false"/>
                <w:bCs w:val="false"/>
                <w:sz w:val="20"/>
                <w:szCs w:val="20"/>
              </w:rPr>
              <w:t xml:space="preserve">High-confidence deviation across session- and message-level models, or a known attack signature (e.g. recon subscription pattern)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val="false"/>
                <w:bCs w:val="false"/>
                <w:sz w:val="20"/>
                <w:szCs w:val="20"/>
              </w:rPr>
              <w:t xml:space="preserve">Terminate session and quarantine client ID (ACL deny) pending manual review</w:t>
            </w:r>
          </w:p>
        </w:tc>
        <w:tc>
          <w:tcPr>
            <w:tcW w:type="dxa" w:w="1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val="false"/>
                <w:bCs w:val="false"/>
                <w:sz w:val="20"/>
                <w:szCs w:val="20"/>
              </w:rPr>
              <w:t xml:space="preserve">Combined</w:t>
            </w:r>
          </w:p>
        </w:tc>
      </w:tr>
    </w:tbl>
    <w:p>
      <w:pPr>
        <w:spacing w:before="200"/>
      </w:pPr>
    </w:p>
    <w:p>
      <w:pPr>
        <w:spacing w:after="160"/>
      </w:pPr>
      <w:r>
        <w:t xml:space="preserve">Two additional design elements support safe operation of this policy engine:</w:t>
      </w:r>
    </w:p>
    <w:p>
      <w:pPr>
        <w:pStyle w:val="ListParagraph"/>
        <w:numPr>
          <w:ilvl w:val="0"/>
          <w:numId w:val="2"/>
        </w:numPr>
        <w:spacing w:after="80"/>
      </w:pPr>
      <w:r>
        <w:t xml:space="preserve">Adaptive baseline updates: baselines are slowly updated over time (e.g. via a decaying weighted average or periodic retraining window) so legitimate behavioral shifts — such as a firmware update that changes payload size or publishing cadence — do not produce permanent false positives.</w:t>
      </w:r>
    </w:p>
    <w:p>
      <w:pPr>
        <w:pStyle w:val="ListParagraph"/>
        <w:numPr>
          <w:ilvl w:val="0"/>
          <w:numId w:val="2"/>
        </w:numPr>
        <w:spacing w:after="80"/>
      </w:pPr>
      <w:r>
        <w:t xml:space="preserve">Shadow mode: a deployment mode in which the system logs the action it would have taken without enforcing it, allowing operators to validate detection accuracy and tune thresholds before enabling automated re-authentication or quarantine in production.</w:t>
      </w:r>
    </w:p>
    <w:p>
      <w:pPr>
        <w:pStyle w:val="Heading1"/>
      </w:pPr>
      <w:r>
        <w:t xml:space="preserve">7. Architecture and Tooling</w:t>
      </w:r>
    </w:p>
    <w:p>
      <w:pPr>
        <w:pStyle w:val="Heading3"/>
      </w:pPr>
      <w:r>
        <w:t xml:space="preserve">7.1 Broker Layer</w:t>
      </w:r>
    </w:p>
    <w:p>
      <w:pPr>
        <w:spacing w:after="160"/>
      </w:pPr>
      <w:r>
        <w:t xml:space="preserve">Eclipse Mosquitto is recommended as the target broker for an initial implementation due to its lightweight C plugin interface and extensive documentation; EMQX is a viable alternative offering a richer hook system and multi-language plugin SDKs for teams preferring not to work directly in C.</w:t>
      </w:r>
    </w:p>
    <w:p>
      <w:pPr>
        <w:pStyle w:val="Heading3"/>
      </w:pPr>
      <w:r>
        <w:t xml:space="preserve">7.2 Transport / Decoupling Layer</w:t>
      </w:r>
    </w:p>
    <w:p>
      <w:pPr>
        <w:spacing w:after="160"/>
      </w:pPr>
      <w:r>
        <w:t xml:space="preserve">Redis is recommended as the queue between the broker plugin and the scoring worker: the plugin pushes extracted metadata as JSON, and the worker consumes it independently. ZeroMQ is a lower-latency, broker-less alternative if message persistence is not required.</w:t>
      </w:r>
    </w:p>
    <w:p>
      <w:pPr>
        <w:pStyle w:val="Heading3"/>
      </w:pPr>
      <w:r>
        <w:t xml:space="preserve">7.3 Scoring Layer</w:t>
      </w:r>
    </w:p>
    <w:p>
      <w:pPr>
        <w:spacing w:after="160"/>
      </w:pPr>
      <w:r>
        <w:t xml:space="preserve">Python with scikit-learn provides Isolation Forest and One-Class SVM implementations sufficient for baseline modeling. For true online/incremental baseline updates rather than periodic batch retraining, River (formerly scikit-multiflow) supports incremental learning suited to the adaptive update requirement in Section 6.</w:t>
      </w:r>
    </w:p>
    <w:p>
      <w:pPr>
        <w:pStyle w:val="Heading3"/>
      </w:pPr>
      <w:r>
        <w:t xml:space="preserve">7.4 Storage Layer</w:t>
      </w:r>
    </w:p>
    <w:p>
      <w:pPr>
        <w:spacing w:after="160"/>
      </w:pPr>
      <w:r>
        <w:t xml:space="preserve">Per-device baselines, drift score history, and policy action logs require persistent storage. SQLite is sufficient for a prototype; PostgreSQL is recommended if the system is intended to scale toward a more production-representative deployment.</w:t>
      </w:r>
    </w:p>
    <w:p>
      <w:pPr>
        <w:pStyle w:val="Heading3"/>
      </w:pPr>
      <w:r>
        <w:t xml:space="preserve">7.5 Evaluation and Traffic Simulation</w:t>
      </w:r>
    </w:p>
    <w:p>
      <w:pPr>
        <w:spacing w:after="160"/>
      </w:pPr>
      <w:r>
        <w:t xml:space="preserve">Since real device fleets are unlikely to be available during development, simulated MQTT traffic generated via the paho-mqtt client library is needed to exercise the system under controlled conditions, including scripted attack scenarios (credential reuse with a different client library, replay attacks, recon via wildcard subscription, gradual drift simulating firmware change). The public MQTT-IoT-IDS2020 dataset is recommended as a supplementary benchmark, since it is already used as a community reference point in comparable published work, allowing TrustMQTT's detection performance to be situated against existing results.</w:t>
      </w:r>
    </w:p>
    <w:p>
      <w:pPr>
        <w:pStyle w:val="Heading3"/>
      </w:pPr>
      <w:r>
        <w:t xml:space="preserve">7.6 Visualization</w:t>
      </w:r>
    </w:p>
    <w:p>
      <w:pPr>
        <w:spacing w:after="160"/>
      </w:pPr>
      <w:r>
        <w:t xml:space="preserve">Grafana, paired with the chosen storage backend, provides a low-effort path to visualizing per-device drift scores, fleet-wide health, and policy action timelines for demonstration purposes.</w:t>
      </w:r>
    </w:p>
    <w:p>
      <w:pPr>
        <w:pStyle w:val="Heading3"/>
      </w:pPr>
      <w:r>
        <w:t xml:space="preserve">7.7 Deployment</w:t>
      </w:r>
    </w:p>
    <w:p>
      <w:pPr>
        <w:spacing w:after="160"/>
      </w:pPr>
      <w:r>
        <w:t xml:space="preserve">Docker Compose is recommended to orchestrate the broker, queue, scoring worker, storage, and dashboard as a reproducible multi-service environment.</w:t>
      </w:r>
    </w:p>
    <w:p>
      <w:pPr>
        <w:pStyle w:val="Heading1"/>
      </w:pPr>
      <w:r>
        <w:t xml:space="preserve">8. Evaluation Plan</w:t>
      </w:r>
    </w:p>
    <w:p>
      <w:pPr>
        <w:spacing w:after="160"/>
      </w:pPr>
      <w:r>
        <w:t xml:space="preserve">TrustMQTT's effectiveness should be evaluated along three axes:</w:t>
      </w:r>
    </w:p>
    <w:p>
      <w:pPr>
        <w:pStyle w:val="ListParagraph"/>
        <w:numPr>
          <w:ilvl w:val="0"/>
          <w:numId w:val="2"/>
        </w:numPr>
        <w:spacing w:after="80"/>
      </w:pPr>
      <w:r>
        <w:t xml:space="preserve">Detection accuracy: precision, recall, and F1 score against both the MQTT-IoT-IDS2020 benchmark and a custom attack simulation suite covering the scenarios in Section 2, to demonstrate performance comparable to or exceeding existing MQTT anomaly detection literature.</w:t>
      </w:r>
    </w:p>
    <w:p>
      <w:pPr>
        <w:pStyle w:val="ListParagraph"/>
        <w:numPr>
          <w:ilvl w:val="0"/>
          <w:numId w:val="2"/>
        </w:numPr>
        <w:spacing w:after="80"/>
      </w:pPr>
      <w:r>
        <w:t xml:space="preserve">Latency overhead: end-to-end message delivery latency with TrustMQTT's metadata extraction enabled versus a baseline broker, validating that the asynchronous scoring architecture imposes negligible overhead on the publish path.</w:t>
      </w:r>
    </w:p>
    <w:p>
      <w:pPr>
        <w:pStyle w:val="ListParagraph"/>
        <w:numPr>
          <w:ilvl w:val="0"/>
          <w:numId w:val="2"/>
        </w:numPr>
        <w:spacing w:after="80"/>
      </w:pPr>
      <w:r>
        <w:t xml:space="preserve">False-positive behavior under legitimate drift: simulated firmware-update scenarios (e.g. a step change in payload size or publish cadence) to confirm the adaptive baseline update mechanism absorbs legitimate change without triggering sustained false escalation.</w:t>
      </w:r>
    </w:p>
    <w:p>
      <w:pPr>
        <w:pStyle w:val="Heading1"/>
      </w:pPr>
      <w:r>
        <w:t xml:space="preserve">9. Expected Contribution</w:t>
      </w:r>
    </w:p>
    <w:p>
      <w:pPr>
        <w:spacing w:after="160"/>
      </w:pPr>
      <w:r>
        <w:t xml:space="preserve">TrustMQTT does not claim to introduce the general concept of behavioral, continuous-trust IoT security — that concept is established across both academic literature and commercial zero-trust platforms. Its contribution is a broker-native implementation whose feature set is derived from MQTT protocol semantics (session model, control packet structure, QoS delivery guarantees, and pub/sub topology) rather than generic network traffic statistics, combined with a graduated, broker-enforced policy response and an architecture demonstrated to add minimal latency to message delivery. This combination is not directly addressed by existing published systems or commercial platforms identified during the related-work review in Section 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88888"/>
        <w:sz w:val="16"/>
        <w:szCs w:val="16"/>
      </w:rPr>
      <w:t xml:space="preserve">TrustMQTT —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386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539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2026-06-17T10:39:57.476Z</dcterms:created>
  <dcterms:modified xsi:type="dcterms:W3CDTF">2026-06-17T10:39:57.476Z</dcterms:modified>
</cp:coreProperties>
</file>

<file path=docProps/custom.xml><?xml version="1.0" encoding="utf-8"?>
<Properties xmlns="http://schemas.openxmlformats.org/officeDocument/2006/custom-properties" xmlns:vt="http://schemas.openxmlformats.org/officeDocument/2006/docPropsVTypes"/>
</file>