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68D7B" w14:textId="490BEC4B" w:rsidR="00147061" w:rsidRDefault="005009C1">
      <w:pPr>
        <w:pStyle w:val="Heading1"/>
        <w:spacing w:before="120" w:after="120"/>
        <w:ind w:right="-14"/>
        <w:jc w:val="center"/>
        <w:rPr>
          <w:rFonts w:ascii="Times" w:hAnsi="Times"/>
          <w:b w:val="0"/>
          <w:sz w:val="36"/>
        </w:rPr>
      </w:pPr>
      <w:r>
        <w:rPr>
          <w:rFonts w:ascii="Times" w:hAnsi="Times"/>
          <w:b w:val="0"/>
          <w:sz w:val="36"/>
        </w:rPr>
        <w:t xml:space="preserve">Machine Learning Analysis to Predict Audit Report Cycle Time </w:t>
      </w:r>
    </w:p>
    <w:p w14:paraId="604E6220" w14:textId="745780B4" w:rsidR="00147061" w:rsidRPr="00E54D2A" w:rsidRDefault="00E54D2A">
      <w:pPr>
        <w:pStyle w:val="BodyTextIndent3"/>
        <w:ind w:left="0" w:right="-14"/>
        <w:rPr>
          <w:i/>
          <w:color w:val="000000"/>
          <w:vertAlign w:val="superscript"/>
        </w:rPr>
      </w:pPr>
      <w:r>
        <w:rPr>
          <w:i/>
          <w:color w:val="000000"/>
        </w:rPr>
        <w:t>Name removed</w:t>
      </w:r>
    </w:p>
    <w:p w14:paraId="3A17598A" w14:textId="77777777" w:rsidR="00147061" w:rsidRDefault="005009C1">
      <w:pPr>
        <w:pStyle w:val="Heading3"/>
        <w:spacing w:after="120"/>
        <w:ind w:right="-14"/>
        <w:rPr>
          <w:rFonts w:ascii="Times" w:hAnsi="Times"/>
          <w:b w:val="0"/>
          <w:caps w:val="0"/>
          <w:color w:val="000000"/>
        </w:rPr>
      </w:pPr>
      <w:r>
        <w:rPr>
          <w:rFonts w:ascii="Times" w:hAnsi="Times"/>
          <w:b w:val="0"/>
          <w:caps w:val="0"/>
          <w:color w:val="000000"/>
        </w:rPr>
        <w:t>Air Force Institute of Technology</w:t>
      </w:r>
    </w:p>
    <w:p w14:paraId="2CD2DCE6" w14:textId="77777777" w:rsidR="00147061" w:rsidRDefault="00147061">
      <w:pPr>
        <w:jc w:val="center"/>
        <w:rPr>
          <w:rFonts w:ascii="Times" w:hAnsi="Times"/>
          <w:sz w:val="24"/>
        </w:rPr>
      </w:pPr>
    </w:p>
    <w:p w14:paraId="30712E42" w14:textId="77777777" w:rsidR="00147061" w:rsidRDefault="00147061">
      <w:pPr>
        <w:sectPr w:rsidR="00147061">
          <w:footerReference w:type="default" r:id="rId8"/>
          <w:pgSz w:w="12240" w:h="15840"/>
          <w:pgMar w:top="1080" w:right="907" w:bottom="1440" w:left="907" w:header="0" w:footer="0" w:gutter="0"/>
          <w:cols w:space="720"/>
          <w:formProt w:val="0"/>
          <w:docGrid w:linePitch="100" w:charSpace="8192"/>
        </w:sectPr>
      </w:pPr>
    </w:p>
    <w:p w14:paraId="16FDBB86" w14:textId="77777777" w:rsidR="002916A5" w:rsidRPr="002916A5" w:rsidRDefault="005009C1" w:rsidP="002916A5">
      <w:pPr>
        <w:pStyle w:val="Heading3"/>
        <w:spacing w:before="40" w:line="200" w:lineRule="exact"/>
        <w:ind w:firstLine="187"/>
        <w:jc w:val="both"/>
        <w:rPr>
          <w:caps w:val="0"/>
          <w:kern w:val="2"/>
          <w:sz w:val="18"/>
        </w:rPr>
      </w:pPr>
      <w:r w:rsidRPr="002916A5">
        <w:rPr>
          <w:i/>
          <w:caps w:val="0"/>
          <w:kern w:val="2"/>
          <w:sz w:val="18"/>
        </w:rPr>
        <w:t xml:space="preserve">Abstract </w:t>
      </w:r>
      <w:r w:rsidRPr="002916A5">
        <w:rPr>
          <w:caps w:val="0"/>
          <w:kern w:val="2"/>
          <w:sz w:val="18"/>
        </w:rPr>
        <w:t xml:space="preserve"> —  </w:t>
      </w:r>
      <w:r w:rsidR="002916A5" w:rsidRPr="002916A5">
        <w:rPr>
          <w:caps w:val="0"/>
          <w:kern w:val="2"/>
          <w:sz w:val="18"/>
        </w:rPr>
        <w:t>In this project, a machine learning analysis was conducted to determine when a draft report would be issued to management.  The project compared the neural network’s performance to the classical modeling approach.  The modeling data was obtained from the Air Force Auditing Agency (AFAA) central database and included all repor</w:t>
      </w:r>
      <w:bookmarkStart w:id="0" w:name="_GoBack"/>
      <w:bookmarkEnd w:id="0"/>
      <w:r w:rsidR="002916A5" w:rsidRPr="002916A5">
        <w:rPr>
          <w:caps w:val="0"/>
          <w:kern w:val="2"/>
          <w:sz w:val="18"/>
        </w:rPr>
        <w:t xml:space="preserve">ts published between October 2017 and April 2021.  The data file included 1,405 completed audits and contained both numerical and categorical data.  In this analysis, the mean squared error (MSE) metric was used to measure the performance of the classical and neural network models. </w:t>
      </w:r>
    </w:p>
    <w:p w14:paraId="47989DA5" w14:textId="2BB5A0E7" w:rsidR="00147061" w:rsidRPr="002916A5" w:rsidRDefault="002916A5" w:rsidP="002916A5">
      <w:pPr>
        <w:pStyle w:val="Heading3"/>
        <w:spacing w:before="40" w:after="0" w:line="200" w:lineRule="exact"/>
        <w:ind w:firstLine="187"/>
        <w:jc w:val="both"/>
        <w:rPr>
          <w:caps w:val="0"/>
          <w:kern w:val="2"/>
          <w:sz w:val="18"/>
        </w:rPr>
      </w:pPr>
      <w:r w:rsidRPr="002916A5">
        <w:rPr>
          <w:caps w:val="0"/>
          <w:kern w:val="2"/>
          <w:sz w:val="18"/>
        </w:rPr>
        <w:t xml:space="preserve">Overall, the classical model resulted in a 44% chance of accurately predicting when the draft report would be issued with a MSE of 2583 and included 38 input variables.  </w:t>
      </w:r>
      <w:r w:rsidR="000400FD">
        <w:rPr>
          <w:caps w:val="0"/>
          <w:kern w:val="2"/>
          <w:sz w:val="18"/>
        </w:rPr>
        <w:t xml:space="preserve">An extensive neural network hyperparameter sweep was conducted, and the best </w:t>
      </w:r>
      <w:r w:rsidRPr="002916A5">
        <w:rPr>
          <w:caps w:val="0"/>
          <w:kern w:val="2"/>
          <w:sz w:val="18"/>
        </w:rPr>
        <w:t xml:space="preserve">neural network model consisted of 32 neurons, 2 hidden layers, 100 epochs, and a learning rate of 0.1, </w:t>
      </w:r>
      <w:r w:rsidR="000400FD">
        <w:rPr>
          <w:caps w:val="0"/>
          <w:kern w:val="2"/>
          <w:sz w:val="18"/>
        </w:rPr>
        <w:t xml:space="preserve">with a </w:t>
      </w:r>
      <w:r w:rsidRPr="002916A5">
        <w:rPr>
          <w:caps w:val="0"/>
          <w:kern w:val="2"/>
          <w:sz w:val="18"/>
        </w:rPr>
        <w:t>MSE of 2422.  Therefore, neither modeling approach achieved the success criteria of predicting when the draft report will be issued to management about 80% of the time.  However, this project highlighted significant features in predicting when the draft report will be issued such as the office performing the audit</w:t>
      </w:r>
      <w:r w:rsidR="00BD3976">
        <w:rPr>
          <w:caps w:val="0"/>
          <w:kern w:val="2"/>
          <w:sz w:val="18"/>
        </w:rPr>
        <w:t xml:space="preserve"> and the </w:t>
      </w:r>
      <w:r w:rsidR="006A7B75">
        <w:rPr>
          <w:caps w:val="0"/>
          <w:kern w:val="2"/>
          <w:sz w:val="18"/>
        </w:rPr>
        <w:t>report title words of management and military</w:t>
      </w:r>
      <w:r w:rsidRPr="002916A5">
        <w:rPr>
          <w:caps w:val="0"/>
          <w:kern w:val="2"/>
          <w:sz w:val="18"/>
        </w:rPr>
        <w:t>.</w:t>
      </w:r>
      <w:r w:rsidR="005009C1" w:rsidRPr="002916A5">
        <w:rPr>
          <w:caps w:val="0"/>
          <w:kern w:val="2"/>
          <w:sz w:val="18"/>
        </w:rPr>
        <w:t xml:space="preserve"> </w:t>
      </w:r>
    </w:p>
    <w:p w14:paraId="44E49A62" w14:textId="77777777" w:rsidR="00147061" w:rsidRDefault="00147061">
      <w:pPr>
        <w:rPr>
          <w:color w:val="FF0000"/>
        </w:rPr>
      </w:pPr>
    </w:p>
    <w:p w14:paraId="11037A78" w14:textId="4D2CB82C" w:rsidR="00147061" w:rsidRPr="002916A5" w:rsidRDefault="005009C1">
      <w:pPr>
        <w:rPr>
          <w:kern w:val="2"/>
          <w:sz w:val="18"/>
        </w:rPr>
      </w:pPr>
      <w:r w:rsidRPr="002916A5">
        <w:rPr>
          <w:i/>
          <w:kern w:val="2"/>
          <w:sz w:val="18"/>
        </w:rPr>
        <w:t xml:space="preserve">Keywords </w:t>
      </w:r>
      <w:r w:rsidRPr="002916A5">
        <w:rPr>
          <w:kern w:val="2"/>
          <w:sz w:val="18"/>
        </w:rPr>
        <w:t xml:space="preserve"> —  </w:t>
      </w:r>
      <w:r w:rsidR="002916A5" w:rsidRPr="002916A5">
        <w:rPr>
          <w:kern w:val="2"/>
          <w:sz w:val="18"/>
        </w:rPr>
        <w:t>audit, draft report, machine learning, regression, classical modeling, neural networking,</w:t>
      </w:r>
      <w:r w:rsidRPr="002916A5">
        <w:rPr>
          <w:kern w:val="2"/>
          <w:sz w:val="18"/>
        </w:rPr>
        <w:t xml:space="preserve"> and </w:t>
      </w:r>
      <w:r w:rsidR="002916A5" w:rsidRPr="002916A5">
        <w:rPr>
          <w:kern w:val="2"/>
          <w:sz w:val="18"/>
        </w:rPr>
        <w:t>hyperparameters</w:t>
      </w:r>
    </w:p>
    <w:p w14:paraId="34CE6A69" w14:textId="77777777" w:rsidR="00147061" w:rsidRDefault="005009C1">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smallCaps/>
          <w:sz w:val="20"/>
        </w:rPr>
        <w:t>Introduction &amp; Background</w:t>
      </w:r>
    </w:p>
    <w:p w14:paraId="6DD50938" w14:textId="77777777" w:rsidR="00147061" w:rsidRDefault="005009C1">
      <w:pPr>
        <w:pStyle w:val="IEEEpara"/>
      </w:pPr>
      <w:r>
        <w:t xml:space="preserve">The Air Force Audit Agency (AFAA) primary performs performance and financial audits. Each performance or financial audit consists of three phases: planning, fieldwork, and reporting. During planning, audit personnel identify primary audit objectives, collect and analyze data, and develop a general understanding of internal control design and effectiveness. Fieldwork allows audit personnel to collect, analyze, interpret, and document information necessary to accomplish the audit objectives and support the audit results. The reporting phase starts when audit personnel prepare a draft report for management comments </w:t>
      </w:r>
      <w:sdt>
        <w:sdtPr>
          <w:id w:val="-1698997011"/>
          <w:citation/>
        </w:sdtPr>
        <w:sdtEndPr/>
        <w:sdtContent>
          <w:r>
            <w:fldChar w:fldCharType="begin"/>
          </w:r>
          <w:r>
            <w:instrText>CITATION Air181 \l 1033</w:instrText>
          </w:r>
          <w:r>
            <w:fldChar w:fldCharType="separate"/>
          </w:r>
          <w:r>
            <w:t>[1]</w:t>
          </w:r>
          <w:r>
            <w:fldChar w:fldCharType="end"/>
          </w:r>
        </w:sdtContent>
      </w:sdt>
      <w:r>
        <w:t>.  The draft report outlines the findings and includes recommendations in order to correct the issues.</w:t>
      </w:r>
    </w:p>
    <w:p w14:paraId="20CFA9B3" w14:textId="77777777" w:rsidR="00147061" w:rsidRDefault="005009C1">
      <w:pPr>
        <w:pStyle w:val="IEEEpara"/>
      </w:pPr>
      <w:r>
        <w:t xml:space="preserve">Audits help management improve operations by identifying improvements to processes or issues within internal controls. When establishing the annual audit plan, audit personnel work with clients to identity areas of concern they would like addressed. As part of this process, the scope and breadth of the audit are determined to include audit objectives, locations, types of data, availability of auditors, and auditor experience in the topic. An important piece of this process is when the audit results are needed. </w:t>
      </w:r>
    </w:p>
    <w:p w14:paraId="59ADF159" w14:textId="77777777" w:rsidR="00147061" w:rsidRDefault="005009C1">
      <w:pPr>
        <w:pStyle w:val="IEEEpara"/>
      </w:pPr>
      <w:r>
        <w:t xml:space="preserve">It is important to provide timely and relevant results to the clients. Not providing timely audit results could result in outdated recommendations that are no longer relevant or no longer a current issue. Additionally, providing timely and relevant audit results allows clients to implement process improvements to achieve a healthier outcome and provide better mission support to the Air Force. To be of maximum benefit, providing relevant evidence in time to respond to management legitimate needs is the auditors’ goal </w:t>
      </w:r>
      <w:sdt>
        <w:sdtPr>
          <w:id w:val="962770954"/>
          <w:citation/>
        </w:sdtPr>
        <w:sdtEndPr/>
        <w:sdtContent>
          <w:r>
            <w:fldChar w:fldCharType="begin"/>
          </w:r>
          <w:r>
            <w:instrText>CITATION Com21 \l 1033</w:instrText>
          </w:r>
          <w:r>
            <w:fldChar w:fldCharType="separate"/>
          </w:r>
          <w:r>
            <w:t>[2]</w:t>
          </w:r>
          <w:r>
            <w:fldChar w:fldCharType="end"/>
          </w:r>
        </w:sdtContent>
      </w:sdt>
      <w:r>
        <w:t xml:space="preserve">. Therefore, it is the AFAA’s mission to deliver timely, relevant, and quality audit services </w:t>
      </w:r>
      <w:sdt>
        <w:sdtPr>
          <w:id w:val="-1245952029"/>
          <w:citation/>
        </w:sdtPr>
        <w:sdtEndPr/>
        <w:sdtContent>
          <w:r>
            <w:fldChar w:fldCharType="begin"/>
          </w:r>
          <w:r>
            <w:instrText>CITATION Air18 \l 1033</w:instrText>
          </w:r>
          <w:r>
            <w:fldChar w:fldCharType="separate"/>
          </w:r>
          <w:r>
            <w:t>[3]</w:t>
          </w:r>
          <w:r>
            <w:fldChar w:fldCharType="end"/>
          </w:r>
        </w:sdtContent>
      </w:sdt>
      <w:r>
        <w:t>.</w:t>
      </w:r>
    </w:p>
    <w:p w14:paraId="0110BB74" w14:textId="0A2A34AE" w:rsidR="00147061" w:rsidRDefault="005009C1">
      <w:pPr>
        <w:pStyle w:val="IEEEpara"/>
      </w:pPr>
      <w:r>
        <w:t xml:space="preserve">AFAA </w:t>
      </w:r>
      <w:r w:rsidR="008F1920">
        <w:t>m</w:t>
      </w:r>
      <w:r>
        <w:t xml:space="preserve">anagement requires current, timely, and relevant information in order to make informed decisions.  Therefore, </w:t>
      </w:r>
      <w:r w:rsidR="008F1920">
        <w:t>predicting</w:t>
      </w:r>
      <w:r>
        <w:t xml:space="preserve"> when the draft report will be issued to management, clients can request just-in-time audits that are meaningful and have the most impact on their mission.   In this project, a machine learning analysis was conducted to determine when a draft report would be issued to management</w:t>
      </w:r>
      <w:r w:rsidR="008F1920">
        <w:t>.</w:t>
      </w:r>
      <w:r>
        <w:t xml:space="preserve">  </w:t>
      </w:r>
      <w:r w:rsidR="008F1920">
        <w:t xml:space="preserve">The project </w:t>
      </w:r>
      <w:r>
        <w:t>compare</w:t>
      </w:r>
      <w:r w:rsidR="008F1920">
        <w:t>d</w:t>
      </w:r>
      <w:r>
        <w:t xml:space="preserve"> the neural network’s performance to the classical modeling approach. </w:t>
      </w:r>
    </w:p>
    <w:p w14:paraId="79F3F5A1" w14:textId="6913E885" w:rsidR="00147061" w:rsidRDefault="005009C1">
      <w:pPr>
        <w:pStyle w:val="IEEEpara"/>
      </w:pPr>
      <w:r>
        <w:t xml:space="preserve">The research question addressed in this work </w:t>
      </w:r>
      <w:r w:rsidR="008F1920">
        <w:t>was</w:t>
      </w:r>
      <w:r>
        <w:t xml:space="preserve"> “using available data, how well can classical machine learning and neural network algorithms predict when the draft report will be issued to management?” Given the input variables, if the classical machine learning and neural network algorithms have the ability to generalize when the draft report will be issued to management about 80% of time that would classify as a success.</w:t>
      </w:r>
    </w:p>
    <w:p w14:paraId="1F230CF0" w14:textId="52A259D2" w:rsidR="00147061" w:rsidRDefault="005009C1">
      <w:pPr>
        <w:pStyle w:val="IEEEpara"/>
      </w:pPr>
      <w:r>
        <w:t xml:space="preserve">Through conducting a lot of research on prior machine learning analyses to predict audit report cycle time, the results concluded that this topic has not yet been studied.  However, </w:t>
      </w:r>
      <w:r w:rsidR="00C45A53">
        <w:t xml:space="preserve">machine learning has been used in audit to detect fraud </w:t>
      </w:r>
      <w:r w:rsidR="00C609A5">
        <w:t xml:space="preserve">or to predict patient scores using regression (see Table 1).  In addition, </w:t>
      </w:r>
      <w:r>
        <w:t xml:space="preserve">other areas of the audit process </w:t>
      </w:r>
      <w:r w:rsidR="00C609A5">
        <w:t>are being</w:t>
      </w:r>
      <w:r>
        <w:t xml:space="preserve"> pursed to implement machine learning and neural network.  For example, </w:t>
      </w:r>
      <w:r w:rsidR="00C609A5">
        <w:t xml:space="preserve">Deloitte is testing </w:t>
      </w:r>
      <w:r>
        <w:t xml:space="preserve">algorithms to read documents such as leases, derivatives contracts, and sales contracts </w:t>
      </w:r>
      <w:sdt>
        <w:sdtPr>
          <w:id w:val="345751303"/>
          <w:citation/>
        </w:sdtPr>
        <w:sdtEndPr/>
        <w:sdtContent>
          <w:r>
            <w:fldChar w:fldCharType="begin"/>
          </w:r>
          <w:r>
            <w:instrText>CITATION Dic19 \l 1033</w:instrText>
          </w:r>
          <w:r>
            <w:fldChar w:fldCharType="separate"/>
          </w:r>
          <w:r>
            <w:t>[4]</w:t>
          </w:r>
          <w:r>
            <w:fldChar w:fldCharType="end"/>
          </w:r>
        </w:sdtContent>
      </w:sdt>
      <w:r>
        <w:t xml:space="preserve">.  This would combine the natural language processing with machine learning techniques, which </w:t>
      </w:r>
      <w:r w:rsidR="00C609A5">
        <w:t xml:space="preserve">is similar to what this project </w:t>
      </w:r>
      <w:r>
        <w:t>implement</w:t>
      </w:r>
      <w:r w:rsidR="00C609A5">
        <w:t>ed.</w:t>
      </w:r>
      <w:r>
        <w:t xml:space="preserve">  Another example is </w:t>
      </w:r>
      <w:r w:rsidR="00C609A5">
        <w:t>that auditors could use</w:t>
      </w:r>
      <w:r>
        <w:t xml:space="preserve"> machine learning to detect anomalies and identify emerging risks by looking for patterns of management fraud </w:t>
      </w:r>
      <w:sdt>
        <w:sdtPr>
          <w:id w:val="-765536314"/>
          <w:citation/>
        </w:sdtPr>
        <w:sdtEndPr/>
        <w:sdtContent>
          <w:r>
            <w:fldChar w:fldCharType="begin"/>
          </w:r>
          <w:r>
            <w:instrText>CITATION IIA20 \l 1033</w:instrText>
          </w:r>
          <w:r>
            <w:fldChar w:fldCharType="separate"/>
          </w:r>
          <w:r>
            <w:t>[5]</w:t>
          </w:r>
          <w:r>
            <w:fldChar w:fldCharType="end"/>
          </w:r>
        </w:sdtContent>
      </w:sdt>
      <w:r>
        <w:t xml:space="preserve">.  A third example is implementing machine learning to improve audit quality by establishing consistency in audit work, such as ensuring a higher volume of work is done accurately without human error </w:t>
      </w:r>
      <w:sdt>
        <w:sdtPr>
          <w:id w:val="823774520"/>
          <w:citation/>
        </w:sdtPr>
        <w:sdtEndPr/>
        <w:sdtContent>
          <w:r>
            <w:fldChar w:fldCharType="begin"/>
          </w:r>
          <w:r>
            <w:instrText>CITATION Hoo21 \l 1033</w:instrText>
          </w:r>
          <w:r>
            <w:fldChar w:fldCharType="separate"/>
          </w:r>
          <w:r>
            <w:t>[6]</w:t>
          </w:r>
          <w:r>
            <w:fldChar w:fldCharType="end"/>
          </w:r>
        </w:sdtContent>
      </w:sdt>
      <w:r>
        <w:t xml:space="preserve">.  </w:t>
      </w:r>
    </w:p>
    <w:p w14:paraId="0F7DCFFD" w14:textId="6974E42B" w:rsidR="00131575" w:rsidRDefault="00131575">
      <w:pPr>
        <w:pStyle w:val="IEEEpara"/>
      </w:pPr>
    </w:p>
    <w:p w14:paraId="4462272E" w14:textId="77777777" w:rsidR="00E54D2A" w:rsidRPr="00C609A5" w:rsidRDefault="00E54D2A">
      <w:pPr>
        <w:pStyle w:val="IEEEpara"/>
      </w:pPr>
    </w:p>
    <w:p w14:paraId="14E35278" w14:textId="5B6E01D7" w:rsidR="00131575" w:rsidRPr="00C609A5" w:rsidRDefault="00131575" w:rsidP="00131575">
      <w:pPr>
        <w:pStyle w:val="IEEEcaption"/>
        <w:rPr>
          <w:color w:val="auto"/>
        </w:rPr>
      </w:pPr>
      <w:r w:rsidRPr="00C609A5">
        <w:rPr>
          <w:color w:val="auto"/>
        </w:rPr>
        <w:lastRenderedPageBreak/>
        <w:t xml:space="preserve">Table 1. Prior machine learning analyses in </w:t>
      </w:r>
      <w:r w:rsidR="00C45A53" w:rsidRPr="00C609A5">
        <w:rPr>
          <w:color w:val="auto"/>
        </w:rPr>
        <w:t>a</w:t>
      </w:r>
      <w:r w:rsidRPr="00C609A5">
        <w:rPr>
          <w:color w:val="auto"/>
        </w:rPr>
        <w:t>udit</w:t>
      </w:r>
      <w:r w:rsidR="0000018C" w:rsidRPr="00C609A5">
        <w:rPr>
          <w:color w:val="auto"/>
        </w:rPr>
        <w:t xml:space="preserve"> and </w:t>
      </w:r>
      <w:r w:rsidR="00C45A53" w:rsidRPr="00C609A5">
        <w:rPr>
          <w:color w:val="auto"/>
        </w:rPr>
        <w:t>p</w:t>
      </w:r>
      <w:r w:rsidR="0000018C" w:rsidRPr="00C609A5">
        <w:rPr>
          <w:color w:val="auto"/>
        </w:rPr>
        <w:t>rediction</w:t>
      </w:r>
    </w:p>
    <w:tbl>
      <w:tblPr>
        <w:tblW w:w="5119" w:type="dxa"/>
        <w:tblLook w:val="04A0" w:firstRow="1" w:lastRow="0" w:firstColumn="1" w:lastColumn="0" w:noHBand="0" w:noVBand="1"/>
      </w:tblPr>
      <w:tblGrid>
        <w:gridCol w:w="2520"/>
        <w:gridCol w:w="810"/>
        <w:gridCol w:w="1293"/>
        <w:gridCol w:w="496"/>
      </w:tblGrid>
      <w:tr w:rsidR="00C609A5" w:rsidRPr="00C609A5" w14:paraId="4800F300" w14:textId="77777777" w:rsidTr="00217ADF">
        <w:trPr>
          <w:trHeight w:val="349"/>
        </w:trPr>
        <w:tc>
          <w:tcPr>
            <w:tcW w:w="2520" w:type="dxa"/>
            <w:tcBorders>
              <w:top w:val="single" w:sz="12" w:space="0" w:color="auto"/>
              <w:left w:val="nil"/>
              <w:bottom w:val="single" w:sz="12" w:space="0" w:color="auto"/>
              <w:right w:val="nil"/>
            </w:tcBorders>
            <w:shd w:val="clear" w:color="auto" w:fill="auto"/>
            <w:noWrap/>
            <w:vAlign w:val="center"/>
            <w:hideMark/>
          </w:tcPr>
          <w:p w14:paraId="6FDF7937" w14:textId="77777777" w:rsidR="00131575" w:rsidRPr="00C609A5" w:rsidRDefault="00131575" w:rsidP="00217ADF">
            <w:pPr>
              <w:rPr>
                <w:rFonts w:eastAsia="Times New Roman"/>
                <w:sz w:val="16"/>
                <w:szCs w:val="18"/>
              </w:rPr>
            </w:pPr>
            <w:r w:rsidRPr="00C609A5">
              <w:rPr>
                <w:rFonts w:eastAsia="Times New Roman"/>
                <w:sz w:val="16"/>
                <w:szCs w:val="18"/>
              </w:rPr>
              <w:t>Description of work</w:t>
            </w:r>
          </w:p>
        </w:tc>
        <w:tc>
          <w:tcPr>
            <w:tcW w:w="810" w:type="dxa"/>
            <w:tcBorders>
              <w:top w:val="single" w:sz="12" w:space="0" w:color="auto"/>
              <w:left w:val="nil"/>
              <w:bottom w:val="single" w:sz="12" w:space="0" w:color="auto"/>
              <w:right w:val="nil"/>
            </w:tcBorders>
            <w:shd w:val="clear" w:color="auto" w:fill="auto"/>
            <w:noWrap/>
            <w:vAlign w:val="center"/>
            <w:hideMark/>
          </w:tcPr>
          <w:p w14:paraId="6B3A38F3" w14:textId="77777777" w:rsidR="00131575" w:rsidRPr="00C609A5" w:rsidRDefault="00131575" w:rsidP="00217ADF">
            <w:pPr>
              <w:jc w:val="center"/>
              <w:rPr>
                <w:rFonts w:eastAsia="Times New Roman"/>
                <w:sz w:val="16"/>
                <w:szCs w:val="18"/>
              </w:rPr>
            </w:pPr>
            <w:r w:rsidRPr="00C609A5">
              <w:rPr>
                <w:rFonts w:eastAsia="Times New Roman"/>
                <w:sz w:val="16"/>
                <w:szCs w:val="18"/>
              </w:rPr>
              <w:t>Method used</w:t>
            </w:r>
          </w:p>
        </w:tc>
        <w:tc>
          <w:tcPr>
            <w:tcW w:w="1293" w:type="dxa"/>
            <w:tcBorders>
              <w:top w:val="single" w:sz="12" w:space="0" w:color="auto"/>
              <w:left w:val="nil"/>
              <w:bottom w:val="single" w:sz="12" w:space="0" w:color="auto"/>
              <w:right w:val="nil"/>
            </w:tcBorders>
            <w:shd w:val="clear" w:color="auto" w:fill="auto"/>
            <w:noWrap/>
            <w:vAlign w:val="center"/>
            <w:hideMark/>
          </w:tcPr>
          <w:p w14:paraId="33A7B9CA" w14:textId="77777777" w:rsidR="00131575" w:rsidRPr="00C609A5" w:rsidRDefault="00131575" w:rsidP="00217ADF">
            <w:pPr>
              <w:jc w:val="center"/>
              <w:rPr>
                <w:rFonts w:eastAsia="Times New Roman"/>
                <w:sz w:val="16"/>
                <w:szCs w:val="18"/>
              </w:rPr>
            </w:pPr>
            <w:r w:rsidRPr="00C609A5">
              <w:rPr>
                <w:rFonts w:eastAsia="Times New Roman"/>
                <w:sz w:val="16"/>
                <w:szCs w:val="18"/>
              </w:rPr>
              <w:t>Performance</w:t>
            </w:r>
          </w:p>
        </w:tc>
        <w:tc>
          <w:tcPr>
            <w:tcW w:w="496" w:type="dxa"/>
            <w:tcBorders>
              <w:top w:val="single" w:sz="12" w:space="0" w:color="auto"/>
              <w:left w:val="nil"/>
              <w:bottom w:val="single" w:sz="12" w:space="0" w:color="auto"/>
              <w:right w:val="nil"/>
            </w:tcBorders>
            <w:vAlign w:val="center"/>
          </w:tcPr>
          <w:p w14:paraId="448F496F" w14:textId="77777777" w:rsidR="00131575" w:rsidRPr="00C609A5" w:rsidRDefault="00131575" w:rsidP="00217ADF">
            <w:pPr>
              <w:jc w:val="center"/>
              <w:rPr>
                <w:rFonts w:eastAsia="Times New Roman"/>
                <w:sz w:val="16"/>
                <w:szCs w:val="18"/>
              </w:rPr>
            </w:pPr>
            <w:r w:rsidRPr="00C609A5">
              <w:rPr>
                <w:rFonts w:eastAsia="Times New Roman"/>
                <w:sz w:val="16"/>
                <w:szCs w:val="18"/>
              </w:rPr>
              <w:t>Ref</w:t>
            </w:r>
          </w:p>
        </w:tc>
      </w:tr>
      <w:tr w:rsidR="00C609A5" w:rsidRPr="00C609A5" w14:paraId="44317B92" w14:textId="77777777" w:rsidTr="00217ADF">
        <w:trPr>
          <w:trHeight w:val="330"/>
        </w:trPr>
        <w:tc>
          <w:tcPr>
            <w:tcW w:w="2520" w:type="dxa"/>
            <w:tcBorders>
              <w:top w:val="nil"/>
              <w:left w:val="nil"/>
              <w:bottom w:val="nil"/>
              <w:right w:val="nil"/>
            </w:tcBorders>
            <w:shd w:val="clear" w:color="auto" w:fill="auto"/>
            <w:noWrap/>
            <w:vAlign w:val="center"/>
            <w:hideMark/>
          </w:tcPr>
          <w:p w14:paraId="6777325F" w14:textId="46AEE648" w:rsidR="00131575" w:rsidRPr="00C609A5" w:rsidRDefault="0000018C" w:rsidP="00131575">
            <w:pPr>
              <w:rPr>
                <w:rFonts w:eastAsia="Times New Roman"/>
                <w:sz w:val="16"/>
                <w:szCs w:val="18"/>
              </w:rPr>
            </w:pPr>
            <w:r w:rsidRPr="00C609A5">
              <w:rPr>
                <w:rFonts w:eastAsia="Times New Roman"/>
                <w:sz w:val="16"/>
                <w:szCs w:val="18"/>
              </w:rPr>
              <w:t>D</w:t>
            </w:r>
            <w:r w:rsidR="00131575" w:rsidRPr="00C609A5">
              <w:rPr>
                <w:rFonts w:eastAsia="Times New Roman"/>
                <w:sz w:val="16"/>
                <w:szCs w:val="18"/>
              </w:rPr>
              <w:t>etection of fraudulent financial statement reporting</w:t>
            </w:r>
          </w:p>
        </w:tc>
        <w:tc>
          <w:tcPr>
            <w:tcW w:w="810" w:type="dxa"/>
            <w:tcBorders>
              <w:top w:val="nil"/>
              <w:left w:val="nil"/>
              <w:bottom w:val="nil"/>
              <w:right w:val="nil"/>
            </w:tcBorders>
            <w:shd w:val="clear" w:color="auto" w:fill="auto"/>
            <w:noWrap/>
            <w:vAlign w:val="center"/>
            <w:hideMark/>
          </w:tcPr>
          <w:p w14:paraId="62D44B83" w14:textId="77777777" w:rsidR="00131575" w:rsidRPr="00C609A5" w:rsidRDefault="00131575" w:rsidP="00217ADF">
            <w:pPr>
              <w:rPr>
                <w:rFonts w:eastAsia="Times New Roman"/>
                <w:sz w:val="16"/>
                <w:szCs w:val="18"/>
              </w:rPr>
            </w:pPr>
            <w:r w:rsidRPr="00C609A5">
              <w:rPr>
                <w:rFonts w:eastAsia="Times New Roman"/>
                <w:sz w:val="16"/>
                <w:szCs w:val="18"/>
              </w:rPr>
              <w:t>Decision tree</w:t>
            </w:r>
          </w:p>
        </w:tc>
        <w:tc>
          <w:tcPr>
            <w:tcW w:w="1293" w:type="dxa"/>
            <w:tcBorders>
              <w:top w:val="nil"/>
              <w:left w:val="nil"/>
              <w:bottom w:val="nil"/>
              <w:right w:val="nil"/>
            </w:tcBorders>
            <w:shd w:val="clear" w:color="auto" w:fill="auto"/>
            <w:noWrap/>
            <w:vAlign w:val="center"/>
            <w:hideMark/>
          </w:tcPr>
          <w:p w14:paraId="7C245A29" w14:textId="77777777" w:rsidR="00131575" w:rsidRPr="00C609A5" w:rsidRDefault="00131575" w:rsidP="00131575">
            <w:pPr>
              <w:jc w:val="center"/>
            </w:pPr>
            <w:r w:rsidRPr="00C609A5">
              <w:rPr>
                <w:rFonts w:eastAsia="Times New Roman"/>
                <w:sz w:val="16"/>
                <w:szCs w:val="18"/>
              </w:rPr>
              <w:t>Precision = 0.74</w:t>
            </w:r>
          </w:p>
          <w:p w14:paraId="0561DB1A" w14:textId="19A3CAF6" w:rsidR="00131575" w:rsidRPr="00C609A5" w:rsidRDefault="00131575" w:rsidP="00131575">
            <w:pPr>
              <w:jc w:val="center"/>
              <w:rPr>
                <w:rFonts w:eastAsia="Times New Roman"/>
                <w:sz w:val="16"/>
                <w:szCs w:val="18"/>
              </w:rPr>
            </w:pPr>
            <w:r w:rsidRPr="00C609A5">
              <w:rPr>
                <w:rFonts w:eastAsia="Times New Roman"/>
                <w:sz w:val="16"/>
                <w:szCs w:val="18"/>
              </w:rPr>
              <w:t>Recall = 0.72</w:t>
            </w:r>
          </w:p>
        </w:tc>
        <w:tc>
          <w:tcPr>
            <w:tcW w:w="496" w:type="dxa"/>
            <w:tcBorders>
              <w:top w:val="nil"/>
              <w:left w:val="nil"/>
              <w:bottom w:val="nil"/>
              <w:right w:val="nil"/>
            </w:tcBorders>
            <w:vAlign w:val="center"/>
          </w:tcPr>
          <w:p w14:paraId="161F2740" w14:textId="2B949B4C" w:rsidR="00131575" w:rsidRPr="00C609A5" w:rsidRDefault="001050DF" w:rsidP="00217ADF">
            <w:pPr>
              <w:jc w:val="center"/>
              <w:rPr>
                <w:rFonts w:eastAsia="Times New Roman"/>
                <w:sz w:val="16"/>
                <w:szCs w:val="18"/>
              </w:rPr>
            </w:pPr>
            <w:sdt>
              <w:sdtPr>
                <w:rPr>
                  <w:rFonts w:eastAsia="Times New Roman"/>
                  <w:sz w:val="16"/>
                  <w:szCs w:val="18"/>
                </w:rPr>
                <w:id w:val="362492567"/>
                <w:citation/>
              </w:sdtPr>
              <w:sdtEndPr/>
              <w:sdtContent>
                <w:r w:rsidR="00FB4E01" w:rsidRPr="00C609A5">
                  <w:rPr>
                    <w:rFonts w:eastAsia="Times New Roman"/>
                    <w:sz w:val="16"/>
                    <w:szCs w:val="18"/>
                  </w:rPr>
                  <w:fldChar w:fldCharType="begin"/>
                </w:r>
                <w:r w:rsidR="00FB4E01" w:rsidRPr="00C609A5">
                  <w:rPr>
                    <w:rFonts w:eastAsia="Times New Roman"/>
                    <w:sz w:val="16"/>
                    <w:szCs w:val="18"/>
                  </w:rPr>
                  <w:instrText xml:space="preserve"> CITATION Haj17 \l 1033 </w:instrText>
                </w:r>
                <w:r w:rsidR="00FB4E01" w:rsidRPr="00C609A5">
                  <w:rPr>
                    <w:rFonts w:eastAsia="Times New Roman"/>
                    <w:sz w:val="16"/>
                    <w:szCs w:val="18"/>
                  </w:rPr>
                  <w:fldChar w:fldCharType="separate"/>
                </w:r>
                <w:r w:rsidR="00FB4E01" w:rsidRPr="00C609A5">
                  <w:rPr>
                    <w:rFonts w:eastAsia="Times New Roman"/>
                    <w:noProof/>
                    <w:sz w:val="16"/>
                    <w:szCs w:val="18"/>
                  </w:rPr>
                  <w:t>[7]</w:t>
                </w:r>
                <w:r w:rsidR="00FB4E01" w:rsidRPr="00C609A5">
                  <w:rPr>
                    <w:rFonts w:eastAsia="Times New Roman"/>
                    <w:sz w:val="16"/>
                    <w:szCs w:val="18"/>
                  </w:rPr>
                  <w:fldChar w:fldCharType="end"/>
                </w:r>
              </w:sdtContent>
            </w:sdt>
          </w:p>
        </w:tc>
      </w:tr>
      <w:tr w:rsidR="00C609A5" w:rsidRPr="00C609A5" w14:paraId="42D0073D" w14:textId="77777777" w:rsidTr="00217ADF">
        <w:trPr>
          <w:trHeight w:val="311"/>
        </w:trPr>
        <w:tc>
          <w:tcPr>
            <w:tcW w:w="2520" w:type="dxa"/>
            <w:tcBorders>
              <w:top w:val="nil"/>
              <w:left w:val="nil"/>
              <w:bottom w:val="nil"/>
              <w:right w:val="nil"/>
            </w:tcBorders>
            <w:shd w:val="clear" w:color="auto" w:fill="F2F2F2" w:themeFill="background1" w:themeFillShade="F2"/>
            <w:noWrap/>
            <w:vAlign w:val="center"/>
            <w:hideMark/>
          </w:tcPr>
          <w:p w14:paraId="395E6828" w14:textId="3DD362CE" w:rsidR="00131575" w:rsidRPr="00C609A5" w:rsidRDefault="0000018C" w:rsidP="0000018C">
            <w:pPr>
              <w:rPr>
                <w:rFonts w:eastAsia="Times New Roman"/>
                <w:sz w:val="16"/>
                <w:szCs w:val="18"/>
              </w:rPr>
            </w:pPr>
            <w:r w:rsidRPr="00C609A5">
              <w:rPr>
                <w:rFonts w:eastAsia="Times New Roman"/>
                <w:sz w:val="16"/>
                <w:szCs w:val="18"/>
              </w:rPr>
              <w:t>Classifying se</w:t>
            </w:r>
            <w:r w:rsidR="00131575" w:rsidRPr="00C609A5">
              <w:rPr>
                <w:rFonts w:eastAsia="Times New Roman"/>
                <w:sz w:val="16"/>
                <w:szCs w:val="18"/>
              </w:rPr>
              <w:t>lf</w:t>
            </w:r>
            <w:r w:rsidRPr="00C609A5">
              <w:rPr>
                <w:rFonts w:eastAsia="Times New Roman"/>
                <w:sz w:val="16"/>
                <w:szCs w:val="18"/>
              </w:rPr>
              <w:t>-r</w:t>
            </w:r>
            <w:r w:rsidR="00131575" w:rsidRPr="00C609A5">
              <w:rPr>
                <w:rFonts w:eastAsia="Times New Roman"/>
                <w:sz w:val="16"/>
                <w:szCs w:val="18"/>
              </w:rPr>
              <w:t xml:space="preserve">eported </w:t>
            </w:r>
            <w:r w:rsidRPr="00C609A5">
              <w:rPr>
                <w:rFonts w:eastAsia="Times New Roman"/>
                <w:sz w:val="16"/>
                <w:szCs w:val="18"/>
              </w:rPr>
              <w:t>health s</w:t>
            </w:r>
            <w:r w:rsidR="00131575" w:rsidRPr="00C609A5">
              <w:rPr>
                <w:rFonts w:eastAsia="Times New Roman"/>
                <w:sz w:val="16"/>
                <w:szCs w:val="18"/>
              </w:rPr>
              <w:t xml:space="preserve">tatus in a cohort of </w:t>
            </w:r>
            <w:r w:rsidRPr="00C609A5">
              <w:rPr>
                <w:rFonts w:eastAsia="Times New Roman"/>
                <w:sz w:val="16"/>
                <w:szCs w:val="18"/>
              </w:rPr>
              <w:t>p</w:t>
            </w:r>
            <w:r w:rsidR="00131575" w:rsidRPr="00C609A5">
              <w:rPr>
                <w:rFonts w:eastAsia="Times New Roman"/>
                <w:sz w:val="16"/>
                <w:szCs w:val="18"/>
              </w:rPr>
              <w:t xml:space="preserve">atients with </w:t>
            </w:r>
            <w:r w:rsidRPr="00C609A5">
              <w:rPr>
                <w:rFonts w:eastAsia="Times New Roman"/>
                <w:sz w:val="16"/>
                <w:szCs w:val="18"/>
              </w:rPr>
              <w:t>h</w:t>
            </w:r>
            <w:r w:rsidR="00131575" w:rsidRPr="00C609A5">
              <w:rPr>
                <w:rFonts w:eastAsia="Times New Roman"/>
                <w:sz w:val="16"/>
                <w:szCs w:val="18"/>
              </w:rPr>
              <w:t>eart</w:t>
            </w:r>
            <w:r w:rsidRPr="00C609A5">
              <w:rPr>
                <w:rFonts w:eastAsia="Times New Roman"/>
                <w:sz w:val="16"/>
                <w:szCs w:val="18"/>
              </w:rPr>
              <w:t xml:space="preserve"> d</w:t>
            </w:r>
            <w:r w:rsidR="00131575" w:rsidRPr="00C609A5">
              <w:rPr>
                <w:rFonts w:eastAsia="Times New Roman"/>
                <w:sz w:val="16"/>
                <w:szCs w:val="18"/>
              </w:rPr>
              <w:t xml:space="preserve">isease using </w:t>
            </w:r>
            <w:r w:rsidRPr="00C609A5">
              <w:rPr>
                <w:rFonts w:eastAsia="Times New Roman"/>
                <w:sz w:val="16"/>
                <w:szCs w:val="18"/>
              </w:rPr>
              <w:t>a</w:t>
            </w:r>
            <w:r w:rsidR="00131575" w:rsidRPr="00C609A5">
              <w:rPr>
                <w:rFonts w:eastAsia="Times New Roman"/>
                <w:sz w:val="16"/>
                <w:szCs w:val="18"/>
              </w:rPr>
              <w:t xml:space="preserve">ctivity </w:t>
            </w:r>
            <w:r w:rsidRPr="00C609A5">
              <w:rPr>
                <w:rFonts w:eastAsia="Times New Roman"/>
                <w:sz w:val="16"/>
                <w:szCs w:val="18"/>
              </w:rPr>
              <w:t>t</w:t>
            </w:r>
            <w:r w:rsidR="00131575" w:rsidRPr="00C609A5">
              <w:rPr>
                <w:rFonts w:eastAsia="Times New Roman"/>
                <w:sz w:val="16"/>
                <w:szCs w:val="18"/>
              </w:rPr>
              <w:t xml:space="preserve">racker </w:t>
            </w:r>
            <w:r w:rsidRPr="00C609A5">
              <w:rPr>
                <w:rFonts w:eastAsia="Times New Roman"/>
                <w:sz w:val="16"/>
                <w:szCs w:val="18"/>
              </w:rPr>
              <w:t>d</w:t>
            </w:r>
            <w:r w:rsidR="00131575" w:rsidRPr="00C609A5">
              <w:rPr>
                <w:rFonts w:eastAsia="Times New Roman"/>
                <w:sz w:val="16"/>
                <w:szCs w:val="18"/>
              </w:rPr>
              <w:t>ata</w:t>
            </w:r>
          </w:p>
        </w:tc>
        <w:tc>
          <w:tcPr>
            <w:tcW w:w="810" w:type="dxa"/>
            <w:tcBorders>
              <w:top w:val="nil"/>
              <w:left w:val="nil"/>
              <w:bottom w:val="nil"/>
              <w:right w:val="nil"/>
            </w:tcBorders>
            <w:shd w:val="clear" w:color="auto" w:fill="F2F2F2" w:themeFill="background1" w:themeFillShade="F2"/>
            <w:noWrap/>
            <w:vAlign w:val="center"/>
            <w:hideMark/>
          </w:tcPr>
          <w:p w14:paraId="75CE9162" w14:textId="25942020" w:rsidR="00131575" w:rsidRPr="00C609A5" w:rsidRDefault="00131575" w:rsidP="00217ADF">
            <w:pPr>
              <w:rPr>
                <w:rFonts w:eastAsia="Times New Roman"/>
                <w:sz w:val="16"/>
                <w:szCs w:val="18"/>
              </w:rPr>
            </w:pPr>
            <w:r w:rsidRPr="00C609A5">
              <w:rPr>
                <w:rFonts w:eastAsia="Times New Roman"/>
                <w:sz w:val="16"/>
                <w:szCs w:val="18"/>
              </w:rPr>
              <w:t>Random forest</w:t>
            </w:r>
          </w:p>
        </w:tc>
        <w:tc>
          <w:tcPr>
            <w:tcW w:w="1293" w:type="dxa"/>
            <w:tcBorders>
              <w:top w:val="nil"/>
              <w:left w:val="nil"/>
              <w:bottom w:val="nil"/>
              <w:right w:val="nil"/>
            </w:tcBorders>
            <w:shd w:val="clear" w:color="auto" w:fill="F2F2F2" w:themeFill="background1" w:themeFillShade="F2"/>
            <w:noWrap/>
            <w:vAlign w:val="center"/>
            <w:hideMark/>
          </w:tcPr>
          <w:p w14:paraId="3C54E07B" w14:textId="4BF7457C" w:rsidR="00131575" w:rsidRPr="00C609A5" w:rsidRDefault="00131575" w:rsidP="00217ADF">
            <w:pPr>
              <w:jc w:val="center"/>
              <w:rPr>
                <w:rFonts w:eastAsia="Times New Roman"/>
                <w:sz w:val="16"/>
                <w:szCs w:val="18"/>
              </w:rPr>
            </w:pPr>
            <w:r w:rsidRPr="00C609A5">
              <w:rPr>
                <w:rFonts w:eastAsia="Times New Roman"/>
                <w:sz w:val="16"/>
                <w:szCs w:val="18"/>
              </w:rPr>
              <w:t>AUC = 0.79</w:t>
            </w:r>
          </w:p>
        </w:tc>
        <w:tc>
          <w:tcPr>
            <w:tcW w:w="496" w:type="dxa"/>
            <w:tcBorders>
              <w:top w:val="nil"/>
              <w:left w:val="nil"/>
              <w:bottom w:val="nil"/>
              <w:right w:val="nil"/>
            </w:tcBorders>
            <w:shd w:val="clear" w:color="auto" w:fill="F2F2F2" w:themeFill="background1" w:themeFillShade="F2"/>
            <w:vAlign w:val="center"/>
          </w:tcPr>
          <w:p w14:paraId="1F34ACA5" w14:textId="69815CAC" w:rsidR="00131575" w:rsidRPr="00C609A5" w:rsidRDefault="001050DF" w:rsidP="00217ADF">
            <w:pPr>
              <w:jc w:val="center"/>
              <w:rPr>
                <w:rFonts w:eastAsia="Times New Roman"/>
                <w:sz w:val="16"/>
                <w:szCs w:val="18"/>
              </w:rPr>
            </w:pPr>
            <w:sdt>
              <w:sdtPr>
                <w:rPr>
                  <w:rFonts w:eastAsia="Times New Roman"/>
                  <w:sz w:val="16"/>
                  <w:szCs w:val="18"/>
                </w:rPr>
                <w:id w:val="-1634397317"/>
                <w:citation/>
              </w:sdtPr>
              <w:sdtEndPr/>
              <w:sdtContent>
                <w:r w:rsidR="00FB4E01" w:rsidRPr="00C609A5">
                  <w:rPr>
                    <w:rFonts w:eastAsia="Times New Roman"/>
                    <w:sz w:val="16"/>
                    <w:szCs w:val="18"/>
                  </w:rPr>
                  <w:fldChar w:fldCharType="begin"/>
                </w:r>
                <w:r w:rsidR="00FB4E01" w:rsidRPr="00C609A5">
                  <w:rPr>
                    <w:rFonts w:eastAsia="Times New Roman"/>
                    <w:sz w:val="16"/>
                    <w:szCs w:val="18"/>
                  </w:rPr>
                  <w:instrText xml:space="preserve"> CITATION Men19 \l 1033 </w:instrText>
                </w:r>
                <w:r w:rsidR="00FB4E01" w:rsidRPr="00C609A5">
                  <w:rPr>
                    <w:rFonts w:eastAsia="Times New Roman"/>
                    <w:sz w:val="16"/>
                    <w:szCs w:val="18"/>
                  </w:rPr>
                  <w:fldChar w:fldCharType="separate"/>
                </w:r>
                <w:r w:rsidR="00FB4E01" w:rsidRPr="00C609A5">
                  <w:rPr>
                    <w:rFonts w:eastAsia="Times New Roman"/>
                    <w:noProof/>
                    <w:sz w:val="16"/>
                    <w:szCs w:val="18"/>
                  </w:rPr>
                  <w:t>[8]</w:t>
                </w:r>
                <w:r w:rsidR="00FB4E01" w:rsidRPr="00C609A5">
                  <w:rPr>
                    <w:rFonts w:eastAsia="Times New Roman"/>
                    <w:sz w:val="16"/>
                    <w:szCs w:val="18"/>
                  </w:rPr>
                  <w:fldChar w:fldCharType="end"/>
                </w:r>
              </w:sdtContent>
            </w:sdt>
          </w:p>
        </w:tc>
      </w:tr>
      <w:tr w:rsidR="00C609A5" w:rsidRPr="00C609A5" w14:paraId="47FD6591" w14:textId="77777777" w:rsidTr="00217ADF">
        <w:trPr>
          <w:trHeight w:val="311"/>
        </w:trPr>
        <w:tc>
          <w:tcPr>
            <w:tcW w:w="2520" w:type="dxa"/>
            <w:tcBorders>
              <w:top w:val="nil"/>
              <w:left w:val="nil"/>
              <w:bottom w:val="nil"/>
              <w:right w:val="nil"/>
            </w:tcBorders>
            <w:shd w:val="clear" w:color="auto" w:fill="auto"/>
            <w:noWrap/>
            <w:vAlign w:val="center"/>
            <w:hideMark/>
          </w:tcPr>
          <w:p w14:paraId="41B28C12" w14:textId="70E9D336" w:rsidR="00131575" w:rsidRPr="00C609A5" w:rsidRDefault="00131575" w:rsidP="0000018C">
            <w:pPr>
              <w:rPr>
                <w:rFonts w:eastAsia="Times New Roman"/>
                <w:sz w:val="16"/>
                <w:szCs w:val="18"/>
              </w:rPr>
            </w:pPr>
            <w:r w:rsidRPr="00C609A5">
              <w:rPr>
                <w:rFonts w:eastAsia="Times New Roman"/>
                <w:sz w:val="16"/>
                <w:szCs w:val="18"/>
              </w:rPr>
              <w:t>Det</w:t>
            </w:r>
            <w:r w:rsidR="0000018C" w:rsidRPr="00C609A5">
              <w:rPr>
                <w:rFonts w:eastAsia="Times New Roman"/>
                <w:sz w:val="16"/>
                <w:szCs w:val="18"/>
              </w:rPr>
              <w:t>ection of Medicare fraud</w:t>
            </w:r>
          </w:p>
        </w:tc>
        <w:tc>
          <w:tcPr>
            <w:tcW w:w="810" w:type="dxa"/>
            <w:tcBorders>
              <w:top w:val="nil"/>
              <w:left w:val="nil"/>
              <w:bottom w:val="nil"/>
              <w:right w:val="nil"/>
            </w:tcBorders>
            <w:shd w:val="clear" w:color="auto" w:fill="auto"/>
            <w:noWrap/>
            <w:vAlign w:val="center"/>
          </w:tcPr>
          <w:p w14:paraId="79B4715E" w14:textId="32BD4EE0" w:rsidR="00131575" w:rsidRPr="00C609A5" w:rsidRDefault="00131575" w:rsidP="00217ADF">
            <w:pPr>
              <w:rPr>
                <w:rFonts w:eastAsia="Times New Roman"/>
                <w:sz w:val="16"/>
                <w:szCs w:val="18"/>
              </w:rPr>
            </w:pPr>
            <w:r w:rsidRPr="00C609A5">
              <w:rPr>
                <w:rFonts w:eastAsia="Times New Roman"/>
                <w:sz w:val="16"/>
                <w:szCs w:val="18"/>
              </w:rPr>
              <w:t>Neural network</w:t>
            </w:r>
          </w:p>
        </w:tc>
        <w:tc>
          <w:tcPr>
            <w:tcW w:w="1293" w:type="dxa"/>
            <w:tcBorders>
              <w:top w:val="nil"/>
              <w:left w:val="nil"/>
              <w:bottom w:val="nil"/>
              <w:right w:val="nil"/>
            </w:tcBorders>
            <w:shd w:val="clear" w:color="auto" w:fill="auto"/>
            <w:noWrap/>
            <w:vAlign w:val="center"/>
          </w:tcPr>
          <w:p w14:paraId="1A6E1365" w14:textId="5F31E18E" w:rsidR="00131575" w:rsidRPr="00C609A5" w:rsidRDefault="00131575" w:rsidP="00217ADF">
            <w:pPr>
              <w:jc w:val="center"/>
              <w:rPr>
                <w:rFonts w:eastAsia="Times New Roman"/>
                <w:sz w:val="16"/>
                <w:szCs w:val="18"/>
              </w:rPr>
            </w:pPr>
            <w:r w:rsidRPr="00C609A5">
              <w:rPr>
                <w:rFonts w:eastAsia="Times New Roman"/>
                <w:sz w:val="16"/>
                <w:szCs w:val="18"/>
              </w:rPr>
              <w:t>AUC &lt; 0.70</w:t>
            </w:r>
          </w:p>
        </w:tc>
        <w:tc>
          <w:tcPr>
            <w:tcW w:w="496" w:type="dxa"/>
            <w:tcBorders>
              <w:top w:val="nil"/>
              <w:left w:val="nil"/>
              <w:bottom w:val="nil"/>
              <w:right w:val="nil"/>
            </w:tcBorders>
            <w:vAlign w:val="center"/>
          </w:tcPr>
          <w:p w14:paraId="0BEAC111" w14:textId="5A0AE002" w:rsidR="00131575" w:rsidRPr="00C609A5" w:rsidRDefault="001050DF" w:rsidP="00217ADF">
            <w:pPr>
              <w:jc w:val="center"/>
              <w:rPr>
                <w:rFonts w:eastAsia="Times New Roman"/>
                <w:sz w:val="16"/>
                <w:szCs w:val="18"/>
              </w:rPr>
            </w:pPr>
            <w:sdt>
              <w:sdtPr>
                <w:rPr>
                  <w:rFonts w:eastAsia="Times New Roman"/>
                  <w:sz w:val="16"/>
                  <w:szCs w:val="18"/>
                </w:rPr>
                <w:id w:val="478119270"/>
                <w:citation/>
              </w:sdtPr>
              <w:sdtEndPr/>
              <w:sdtContent>
                <w:r w:rsidR="00C45A53" w:rsidRPr="00C609A5">
                  <w:rPr>
                    <w:rFonts w:eastAsia="Times New Roman"/>
                    <w:sz w:val="16"/>
                    <w:szCs w:val="18"/>
                  </w:rPr>
                  <w:fldChar w:fldCharType="begin"/>
                </w:r>
                <w:r w:rsidR="00C45A53" w:rsidRPr="00C609A5">
                  <w:rPr>
                    <w:rFonts w:eastAsia="Times New Roman"/>
                    <w:sz w:val="16"/>
                    <w:szCs w:val="18"/>
                  </w:rPr>
                  <w:instrText xml:space="preserve"> CITATION Joh19 \l 1033 </w:instrText>
                </w:r>
                <w:r w:rsidR="00C45A53" w:rsidRPr="00C609A5">
                  <w:rPr>
                    <w:rFonts w:eastAsia="Times New Roman"/>
                    <w:sz w:val="16"/>
                    <w:szCs w:val="18"/>
                  </w:rPr>
                  <w:fldChar w:fldCharType="separate"/>
                </w:r>
                <w:r w:rsidR="00C45A53" w:rsidRPr="00C609A5">
                  <w:rPr>
                    <w:rFonts w:eastAsia="Times New Roman"/>
                    <w:noProof/>
                    <w:sz w:val="16"/>
                    <w:szCs w:val="18"/>
                  </w:rPr>
                  <w:t>[9]</w:t>
                </w:r>
                <w:r w:rsidR="00C45A53" w:rsidRPr="00C609A5">
                  <w:rPr>
                    <w:rFonts w:eastAsia="Times New Roman"/>
                    <w:sz w:val="16"/>
                    <w:szCs w:val="18"/>
                  </w:rPr>
                  <w:fldChar w:fldCharType="end"/>
                </w:r>
              </w:sdtContent>
            </w:sdt>
          </w:p>
        </w:tc>
      </w:tr>
    </w:tbl>
    <w:p w14:paraId="1DD00911" w14:textId="77777777" w:rsidR="00131575" w:rsidRDefault="00131575">
      <w:pPr>
        <w:pStyle w:val="IEEEpara"/>
      </w:pPr>
    </w:p>
    <w:p w14:paraId="1EB42456" w14:textId="77777777" w:rsidR="00147061" w:rsidRDefault="005009C1">
      <w:pPr>
        <w:pStyle w:val="ListParagraph"/>
        <w:numPr>
          <w:ilvl w:val="0"/>
          <w:numId w:val="2"/>
        </w:numPr>
        <w:spacing w:before="120" w:after="120" w:line="240" w:lineRule="exact"/>
        <w:jc w:val="both"/>
        <w:rPr>
          <w:rFonts w:ascii="Times" w:hAnsi="Times"/>
          <w:i/>
        </w:rPr>
      </w:pPr>
      <w:r>
        <w:rPr>
          <w:rFonts w:ascii="Times" w:hAnsi="Times"/>
          <w:i/>
        </w:rPr>
        <w:t xml:space="preserve">Data Acquisition  </w:t>
      </w:r>
    </w:p>
    <w:p w14:paraId="7FE2C637" w14:textId="198E8DD3" w:rsidR="00147061" w:rsidRDefault="005009C1">
      <w:pPr>
        <w:pStyle w:val="IEEEpara"/>
      </w:pPr>
      <w:r>
        <w:t>The AFAA maintains a central database called the Management Information System (MIS).  The MIS is used to store all AFAA project management data.  The MIS currently maintains information on all the projects performed since 2004.  In order to obtain the data used for this project, a query was created in the MIS database.  The query included the required data fields along with calculated fields.  The calculated fields were used to create the numerical attributes for the dataset needed for this project.  As part of the criteria for the dataset, a selection of all reports published between October 2017 and April 202</w:t>
      </w:r>
      <w:r w:rsidR="006255C7">
        <w:t>1</w:t>
      </w:r>
      <w:r>
        <w:t>.  That timeframe would reflect AFAA’s most current operations as well as providing enough observations to able to predict the draft report cycle time. Once the query was generated, the data was exported to excel and then converted to a csv file.</w:t>
      </w:r>
    </w:p>
    <w:p w14:paraId="39DB170E" w14:textId="77777777" w:rsidR="00147061" w:rsidRDefault="005009C1">
      <w:pPr>
        <w:pStyle w:val="ListParagraph"/>
        <w:numPr>
          <w:ilvl w:val="0"/>
          <w:numId w:val="2"/>
        </w:numPr>
        <w:spacing w:before="120" w:after="120" w:line="240" w:lineRule="exact"/>
        <w:jc w:val="both"/>
        <w:rPr>
          <w:rFonts w:ascii="Times" w:hAnsi="Times"/>
          <w:i/>
        </w:rPr>
      </w:pPr>
      <w:r>
        <w:rPr>
          <w:rFonts w:ascii="Times" w:hAnsi="Times"/>
          <w:i/>
        </w:rPr>
        <w:t xml:space="preserve">Data Understanding  </w:t>
      </w:r>
    </w:p>
    <w:p w14:paraId="25103D4B" w14:textId="30A26163" w:rsidR="00147061" w:rsidRPr="00E2108E" w:rsidRDefault="00E2108E">
      <w:pPr>
        <w:pStyle w:val="IEEEpara"/>
      </w:pPr>
      <w:r>
        <w:t>The dataset used for this project included both numerical and categorical data.  The numerical data contained the number of days to complete the planning, fieldwork, and draft report audit phase.  The categorical data included the audit office</w:t>
      </w:r>
      <w:r w:rsidR="00D042B9">
        <w:t xml:space="preserve"> that performed the audit</w:t>
      </w:r>
      <w:r>
        <w:t xml:space="preserve">, report titles, and the </w:t>
      </w:r>
      <w:r w:rsidR="00D042B9">
        <w:t>program type the audit covered</w:t>
      </w:r>
      <w:r>
        <w:t>.</w:t>
      </w:r>
      <w:r w:rsidR="00D042B9">
        <w:t xml:space="preserve">  Both the numerical and categorical data required different processes in order to review and understand the data.  The </w:t>
      </w:r>
      <w:r w:rsidR="00FC5DDF">
        <w:t xml:space="preserve">review on the </w:t>
      </w:r>
      <w:r w:rsidR="00D042B9">
        <w:t>numeric data</w:t>
      </w:r>
      <w:r w:rsidR="00FC5DDF">
        <w:t xml:space="preserve"> was accomplished with performing statistical analysis.  The categorical data required utilizing natural language processes to review the data.</w:t>
      </w:r>
      <w:r w:rsidR="00D042B9">
        <w:t xml:space="preserve"> </w:t>
      </w:r>
    </w:p>
    <w:p w14:paraId="7B0C2B7A" w14:textId="77777777" w:rsidR="00147061" w:rsidRDefault="005009C1">
      <w:pPr>
        <w:pStyle w:val="IEEEpara"/>
        <w:rPr>
          <w:b/>
        </w:rPr>
      </w:pPr>
      <w:r>
        <w:rPr>
          <w:b/>
        </w:rPr>
        <w:t>Numeric data</w:t>
      </w:r>
    </w:p>
    <w:p w14:paraId="0BA3E00C" w14:textId="5B5D329D" w:rsidR="00407A68" w:rsidRDefault="005009C1" w:rsidP="00407A68">
      <w:pPr>
        <w:pStyle w:val="IEEEpara"/>
      </w:pPr>
      <w:r>
        <w:t xml:space="preserve">Once the </w:t>
      </w:r>
      <w:r w:rsidR="00407A68">
        <w:t>csv file</w:t>
      </w:r>
      <w:r>
        <w:t xml:space="preserve"> was loaded, the data was validated that all the vari</w:t>
      </w:r>
      <w:r w:rsidR="00407A68">
        <w:t>ables were pulled in correctly and each data type was</w:t>
      </w:r>
      <w:r>
        <w:t xml:space="preserve"> reviewed.  The next step was to calculate the descriptive statistics for the numerical attributes.  During this review process, the data showed that the planning and fieldwork variables con</w:t>
      </w:r>
      <w:r w:rsidR="00407A68">
        <w:t>tained minimum values of zero, w</w:t>
      </w:r>
      <w:r>
        <w:t xml:space="preserve">hich means that some of reports did not contain any planning and or fieldwork days and could significantly skew the data.  Therefore, these observations were reviewed to see if they should be removed before proceeding with the analysis.  In addition, the mean for all three numerical attributes was between 50 and 80.  However, the maximum for these attributes were over 370.  This reflected that data was </w:t>
      </w:r>
      <w:r w:rsidR="00407A68">
        <w:t xml:space="preserve">significantly </w:t>
      </w:r>
      <w:r>
        <w:t>skewed</w:t>
      </w:r>
      <w:r w:rsidR="00407A68">
        <w:t xml:space="preserve"> (see Table </w:t>
      </w:r>
      <w:r w:rsidR="00850E13">
        <w:t>2</w:t>
      </w:r>
      <w:r w:rsidR="00407A68">
        <w:t>).</w:t>
      </w:r>
    </w:p>
    <w:p w14:paraId="1CECE13B" w14:textId="28994DAA" w:rsidR="00147061" w:rsidRDefault="00147061">
      <w:pPr>
        <w:pStyle w:val="IEEEpara"/>
      </w:pPr>
    </w:p>
    <w:p w14:paraId="705C8A13" w14:textId="39F4546C" w:rsidR="00147061" w:rsidRDefault="005009C1">
      <w:pPr>
        <w:pStyle w:val="IEEEpara"/>
        <w:rPr>
          <w:sz w:val="18"/>
          <w:szCs w:val="18"/>
        </w:rPr>
      </w:pPr>
      <w:r>
        <w:rPr>
          <w:sz w:val="18"/>
          <w:szCs w:val="18"/>
        </w:rPr>
        <w:t xml:space="preserve">Table </w:t>
      </w:r>
      <w:r w:rsidR="00850E13">
        <w:rPr>
          <w:sz w:val="18"/>
          <w:szCs w:val="18"/>
        </w:rPr>
        <w:t>2</w:t>
      </w:r>
      <w:r>
        <w:rPr>
          <w:sz w:val="18"/>
          <w:szCs w:val="18"/>
        </w:rPr>
        <w:t>. Feature Summary</w:t>
      </w:r>
    </w:p>
    <w:tbl>
      <w:tblPr>
        <w:tblStyle w:val="TableGrid"/>
        <w:tblW w:w="4869" w:type="dxa"/>
        <w:tblLayout w:type="fixed"/>
        <w:tblLook w:val="04A0" w:firstRow="1" w:lastRow="0" w:firstColumn="1" w:lastColumn="0" w:noHBand="0" w:noVBand="1"/>
      </w:tblPr>
      <w:tblGrid>
        <w:gridCol w:w="1454"/>
        <w:gridCol w:w="1624"/>
        <w:gridCol w:w="1791"/>
      </w:tblGrid>
      <w:tr w:rsidR="00147061" w14:paraId="67C18802" w14:textId="77777777" w:rsidTr="00407A68">
        <w:trPr>
          <w:trHeight w:val="231"/>
        </w:trPr>
        <w:tc>
          <w:tcPr>
            <w:tcW w:w="1454" w:type="dxa"/>
            <w:tcBorders>
              <w:top w:val="single" w:sz="12" w:space="0" w:color="000000"/>
              <w:left w:val="nil"/>
              <w:bottom w:val="single" w:sz="12" w:space="0" w:color="000000"/>
              <w:right w:val="nil"/>
            </w:tcBorders>
            <w:shd w:val="clear" w:color="auto" w:fill="auto"/>
          </w:tcPr>
          <w:p w14:paraId="2929E24E"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Variable</w:t>
            </w:r>
          </w:p>
        </w:tc>
        <w:tc>
          <w:tcPr>
            <w:tcW w:w="1624" w:type="dxa"/>
            <w:tcBorders>
              <w:top w:val="single" w:sz="12" w:space="0" w:color="000000"/>
              <w:left w:val="nil"/>
              <w:bottom w:val="single" w:sz="12" w:space="0" w:color="000000"/>
              <w:right w:val="nil"/>
            </w:tcBorders>
            <w:shd w:val="clear" w:color="auto" w:fill="auto"/>
          </w:tcPr>
          <w:p w14:paraId="46DB974A" w14:textId="77777777" w:rsidR="00147061" w:rsidRDefault="005009C1" w:rsidP="00407A68">
            <w:pPr>
              <w:pStyle w:val="IEEEBullet"/>
              <w:ind w:left="0"/>
              <w:jc w:val="center"/>
              <w:rPr>
                <w:rFonts w:asciiTheme="minorHAnsi" w:hAnsiTheme="minorHAnsi" w:cstheme="minorHAnsi"/>
                <w:sz w:val="16"/>
                <w:szCs w:val="16"/>
              </w:rPr>
            </w:pPr>
            <w:r>
              <w:rPr>
                <w:rFonts w:asciiTheme="minorHAnsi" w:hAnsiTheme="minorHAnsi" w:cstheme="minorHAnsi"/>
                <w:sz w:val="16"/>
                <w:szCs w:val="16"/>
              </w:rPr>
              <w:t>Observations</w:t>
            </w:r>
          </w:p>
        </w:tc>
        <w:tc>
          <w:tcPr>
            <w:tcW w:w="1791" w:type="dxa"/>
            <w:tcBorders>
              <w:top w:val="single" w:sz="12" w:space="0" w:color="000000"/>
              <w:left w:val="nil"/>
              <w:bottom w:val="single" w:sz="12" w:space="0" w:color="000000"/>
              <w:right w:val="nil"/>
            </w:tcBorders>
            <w:shd w:val="clear" w:color="auto" w:fill="auto"/>
          </w:tcPr>
          <w:p w14:paraId="7147BA43" w14:textId="77777777" w:rsidR="00147061" w:rsidRDefault="005009C1" w:rsidP="00407A68">
            <w:pPr>
              <w:pStyle w:val="IEEEBullet"/>
              <w:ind w:left="0"/>
              <w:jc w:val="left"/>
              <w:rPr>
                <w:rFonts w:asciiTheme="minorHAnsi" w:hAnsiTheme="minorHAnsi" w:cstheme="minorHAnsi"/>
                <w:sz w:val="16"/>
                <w:szCs w:val="16"/>
              </w:rPr>
            </w:pPr>
            <w:r>
              <w:rPr>
                <w:rFonts w:asciiTheme="minorHAnsi" w:hAnsiTheme="minorHAnsi" w:cstheme="minorHAnsi"/>
                <w:sz w:val="16"/>
                <w:szCs w:val="16"/>
              </w:rPr>
              <w:t xml:space="preserve">Data Distribution </w:t>
            </w:r>
          </w:p>
        </w:tc>
      </w:tr>
      <w:tr w:rsidR="00147061" w14:paraId="0566D648" w14:textId="77777777" w:rsidTr="00407A68">
        <w:trPr>
          <w:trHeight w:val="235"/>
        </w:trPr>
        <w:tc>
          <w:tcPr>
            <w:tcW w:w="1454" w:type="dxa"/>
            <w:tcBorders>
              <w:top w:val="nil"/>
              <w:left w:val="nil"/>
              <w:bottom w:val="nil"/>
              <w:right w:val="nil"/>
            </w:tcBorders>
            <w:shd w:val="clear" w:color="auto" w:fill="auto"/>
          </w:tcPr>
          <w:p w14:paraId="068BB5AF"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Office</w:t>
            </w:r>
          </w:p>
        </w:tc>
        <w:tc>
          <w:tcPr>
            <w:tcW w:w="1624" w:type="dxa"/>
            <w:tcBorders>
              <w:top w:val="nil"/>
              <w:left w:val="nil"/>
              <w:bottom w:val="nil"/>
              <w:right w:val="nil"/>
            </w:tcBorders>
            <w:shd w:val="clear" w:color="auto" w:fill="auto"/>
          </w:tcPr>
          <w:p w14:paraId="38C59ED7" w14:textId="77777777" w:rsidR="00147061" w:rsidRDefault="005009C1" w:rsidP="00407A68">
            <w:pPr>
              <w:pStyle w:val="IEEEBullet"/>
              <w:ind w:left="0"/>
              <w:jc w:val="center"/>
              <w:rPr>
                <w:rFonts w:asciiTheme="minorHAnsi" w:hAnsiTheme="minorHAnsi" w:cstheme="minorHAnsi"/>
                <w:sz w:val="16"/>
                <w:szCs w:val="16"/>
              </w:rPr>
            </w:pPr>
            <w:r>
              <w:rPr>
                <w:rFonts w:asciiTheme="minorHAnsi" w:hAnsiTheme="minorHAnsi" w:cstheme="minorHAnsi"/>
                <w:sz w:val="16"/>
                <w:szCs w:val="16"/>
              </w:rPr>
              <w:t>1405</w:t>
            </w:r>
          </w:p>
        </w:tc>
        <w:tc>
          <w:tcPr>
            <w:tcW w:w="1791" w:type="dxa"/>
            <w:tcBorders>
              <w:top w:val="nil"/>
              <w:left w:val="nil"/>
              <w:bottom w:val="nil"/>
              <w:right w:val="nil"/>
            </w:tcBorders>
            <w:shd w:val="clear" w:color="auto" w:fill="auto"/>
          </w:tcPr>
          <w:p w14:paraId="106B74A7"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Categorical</w:t>
            </w:r>
          </w:p>
        </w:tc>
      </w:tr>
      <w:tr w:rsidR="00147061" w14:paraId="03D8382A" w14:textId="77777777" w:rsidTr="00407A68">
        <w:trPr>
          <w:trHeight w:val="235"/>
        </w:trPr>
        <w:tc>
          <w:tcPr>
            <w:tcW w:w="1454" w:type="dxa"/>
            <w:tcBorders>
              <w:top w:val="nil"/>
              <w:left w:val="nil"/>
              <w:bottom w:val="nil"/>
              <w:right w:val="nil"/>
            </w:tcBorders>
            <w:shd w:val="clear" w:color="auto" w:fill="auto"/>
          </w:tcPr>
          <w:p w14:paraId="553730B1"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Type of Audit</w:t>
            </w:r>
          </w:p>
        </w:tc>
        <w:tc>
          <w:tcPr>
            <w:tcW w:w="1624" w:type="dxa"/>
            <w:tcBorders>
              <w:top w:val="nil"/>
              <w:left w:val="nil"/>
              <w:bottom w:val="nil"/>
              <w:right w:val="nil"/>
            </w:tcBorders>
            <w:shd w:val="clear" w:color="auto" w:fill="auto"/>
          </w:tcPr>
          <w:p w14:paraId="4153DA68" w14:textId="77777777" w:rsidR="00147061" w:rsidRDefault="005009C1" w:rsidP="00407A68">
            <w:pPr>
              <w:pStyle w:val="IEEEBullet"/>
              <w:ind w:left="0"/>
              <w:jc w:val="center"/>
              <w:rPr>
                <w:rFonts w:asciiTheme="minorHAnsi" w:hAnsiTheme="minorHAnsi" w:cstheme="minorHAnsi"/>
                <w:sz w:val="16"/>
                <w:szCs w:val="16"/>
              </w:rPr>
            </w:pPr>
            <w:r>
              <w:rPr>
                <w:rFonts w:asciiTheme="minorHAnsi" w:hAnsiTheme="minorHAnsi" w:cstheme="minorHAnsi"/>
                <w:sz w:val="16"/>
                <w:szCs w:val="16"/>
              </w:rPr>
              <w:t>1405</w:t>
            </w:r>
          </w:p>
        </w:tc>
        <w:tc>
          <w:tcPr>
            <w:tcW w:w="1791" w:type="dxa"/>
            <w:tcBorders>
              <w:top w:val="nil"/>
              <w:left w:val="nil"/>
              <w:bottom w:val="nil"/>
              <w:right w:val="nil"/>
            </w:tcBorders>
            <w:shd w:val="clear" w:color="auto" w:fill="auto"/>
          </w:tcPr>
          <w:p w14:paraId="48EE9508"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Categorical</w:t>
            </w:r>
          </w:p>
        </w:tc>
      </w:tr>
      <w:tr w:rsidR="00147061" w14:paraId="56EE70EC" w14:textId="77777777" w:rsidTr="00407A68">
        <w:trPr>
          <w:trHeight w:val="235"/>
        </w:trPr>
        <w:tc>
          <w:tcPr>
            <w:tcW w:w="1454" w:type="dxa"/>
            <w:tcBorders>
              <w:top w:val="nil"/>
              <w:left w:val="nil"/>
              <w:bottom w:val="nil"/>
              <w:right w:val="nil"/>
            </w:tcBorders>
            <w:shd w:val="clear" w:color="auto" w:fill="auto"/>
          </w:tcPr>
          <w:p w14:paraId="18EF5816"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Report Title</w:t>
            </w:r>
          </w:p>
        </w:tc>
        <w:tc>
          <w:tcPr>
            <w:tcW w:w="1624" w:type="dxa"/>
            <w:tcBorders>
              <w:top w:val="nil"/>
              <w:left w:val="nil"/>
              <w:bottom w:val="nil"/>
              <w:right w:val="nil"/>
            </w:tcBorders>
            <w:shd w:val="clear" w:color="auto" w:fill="auto"/>
          </w:tcPr>
          <w:p w14:paraId="3112F9A4" w14:textId="77777777" w:rsidR="00147061" w:rsidRDefault="005009C1" w:rsidP="00407A68">
            <w:pPr>
              <w:pStyle w:val="IEEEBullet"/>
              <w:ind w:left="0"/>
              <w:jc w:val="center"/>
              <w:rPr>
                <w:rFonts w:asciiTheme="minorHAnsi" w:hAnsiTheme="minorHAnsi" w:cstheme="minorHAnsi"/>
                <w:sz w:val="16"/>
                <w:szCs w:val="16"/>
              </w:rPr>
            </w:pPr>
            <w:r>
              <w:rPr>
                <w:rFonts w:asciiTheme="minorHAnsi" w:hAnsiTheme="minorHAnsi" w:cstheme="minorHAnsi"/>
                <w:sz w:val="16"/>
                <w:szCs w:val="16"/>
              </w:rPr>
              <w:t>1405</w:t>
            </w:r>
          </w:p>
        </w:tc>
        <w:tc>
          <w:tcPr>
            <w:tcW w:w="1791" w:type="dxa"/>
            <w:tcBorders>
              <w:top w:val="nil"/>
              <w:left w:val="nil"/>
              <w:bottom w:val="nil"/>
              <w:right w:val="nil"/>
            </w:tcBorders>
            <w:shd w:val="clear" w:color="auto" w:fill="auto"/>
          </w:tcPr>
          <w:p w14:paraId="3FFFE484"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Categorical</w:t>
            </w:r>
          </w:p>
        </w:tc>
      </w:tr>
      <w:tr w:rsidR="00147061" w14:paraId="02707786" w14:textId="77777777" w:rsidTr="00407A68">
        <w:trPr>
          <w:trHeight w:val="235"/>
        </w:trPr>
        <w:tc>
          <w:tcPr>
            <w:tcW w:w="1454" w:type="dxa"/>
            <w:tcBorders>
              <w:top w:val="nil"/>
              <w:left w:val="nil"/>
              <w:bottom w:val="nil"/>
              <w:right w:val="nil"/>
            </w:tcBorders>
            <w:shd w:val="clear" w:color="auto" w:fill="auto"/>
          </w:tcPr>
          <w:p w14:paraId="146EE6D4"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Planning Days</w:t>
            </w:r>
          </w:p>
        </w:tc>
        <w:tc>
          <w:tcPr>
            <w:tcW w:w="1624" w:type="dxa"/>
            <w:tcBorders>
              <w:top w:val="nil"/>
              <w:left w:val="nil"/>
              <w:bottom w:val="nil"/>
              <w:right w:val="nil"/>
            </w:tcBorders>
            <w:shd w:val="clear" w:color="auto" w:fill="auto"/>
          </w:tcPr>
          <w:p w14:paraId="7D9A055D" w14:textId="77777777" w:rsidR="00147061" w:rsidRDefault="005009C1" w:rsidP="00407A68">
            <w:pPr>
              <w:pStyle w:val="IEEEBullet"/>
              <w:ind w:left="0"/>
              <w:jc w:val="center"/>
              <w:rPr>
                <w:rFonts w:asciiTheme="minorHAnsi" w:hAnsiTheme="minorHAnsi" w:cstheme="minorHAnsi"/>
                <w:sz w:val="16"/>
                <w:szCs w:val="16"/>
              </w:rPr>
            </w:pPr>
            <w:r>
              <w:rPr>
                <w:rFonts w:asciiTheme="minorHAnsi" w:hAnsiTheme="minorHAnsi" w:cstheme="minorHAnsi"/>
                <w:sz w:val="16"/>
                <w:szCs w:val="16"/>
              </w:rPr>
              <w:t>1405</w:t>
            </w:r>
          </w:p>
        </w:tc>
        <w:tc>
          <w:tcPr>
            <w:tcW w:w="1791" w:type="dxa"/>
            <w:tcBorders>
              <w:top w:val="nil"/>
              <w:left w:val="nil"/>
              <w:bottom w:val="nil"/>
              <w:right w:val="nil"/>
            </w:tcBorders>
            <w:shd w:val="clear" w:color="auto" w:fill="auto"/>
          </w:tcPr>
          <w:p w14:paraId="18CCC363"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Skewed Right</w:t>
            </w:r>
          </w:p>
        </w:tc>
      </w:tr>
      <w:tr w:rsidR="00147061" w14:paraId="307617E7" w14:textId="77777777" w:rsidTr="00407A68">
        <w:trPr>
          <w:trHeight w:val="235"/>
        </w:trPr>
        <w:tc>
          <w:tcPr>
            <w:tcW w:w="1454" w:type="dxa"/>
            <w:tcBorders>
              <w:top w:val="nil"/>
              <w:left w:val="nil"/>
              <w:bottom w:val="nil"/>
              <w:right w:val="nil"/>
            </w:tcBorders>
            <w:shd w:val="clear" w:color="auto" w:fill="auto"/>
          </w:tcPr>
          <w:p w14:paraId="2FA5F8E4"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 xml:space="preserve">Fieldwork Days </w:t>
            </w:r>
          </w:p>
        </w:tc>
        <w:tc>
          <w:tcPr>
            <w:tcW w:w="1624" w:type="dxa"/>
            <w:tcBorders>
              <w:top w:val="nil"/>
              <w:left w:val="nil"/>
              <w:bottom w:val="nil"/>
              <w:right w:val="nil"/>
            </w:tcBorders>
            <w:shd w:val="clear" w:color="auto" w:fill="auto"/>
          </w:tcPr>
          <w:p w14:paraId="0D4A18ED" w14:textId="77777777" w:rsidR="00147061" w:rsidRDefault="005009C1" w:rsidP="00407A68">
            <w:pPr>
              <w:pStyle w:val="IEEEBullet"/>
              <w:ind w:left="0"/>
              <w:jc w:val="center"/>
              <w:rPr>
                <w:rFonts w:asciiTheme="minorHAnsi" w:hAnsiTheme="minorHAnsi" w:cstheme="minorHAnsi"/>
                <w:sz w:val="16"/>
                <w:szCs w:val="16"/>
              </w:rPr>
            </w:pPr>
            <w:r>
              <w:rPr>
                <w:rFonts w:asciiTheme="minorHAnsi" w:hAnsiTheme="minorHAnsi" w:cstheme="minorHAnsi"/>
                <w:sz w:val="16"/>
                <w:szCs w:val="16"/>
              </w:rPr>
              <w:t>1405</w:t>
            </w:r>
          </w:p>
        </w:tc>
        <w:tc>
          <w:tcPr>
            <w:tcW w:w="1791" w:type="dxa"/>
            <w:tcBorders>
              <w:top w:val="nil"/>
              <w:left w:val="nil"/>
              <w:bottom w:val="nil"/>
              <w:right w:val="nil"/>
            </w:tcBorders>
            <w:shd w:val="clear" w:color="auto" w:fill="auto"/>
          </w:tcPr>
          <w:p w14:paraId="6EAAFB42"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Skewed Right</w:t>
            </w:r>
          </w:p>
        </w:tc>
      </w:tr>
      <w:tr w:rsidR="00147061" w14:paraId="275F19E8" w14:textId="77777777" w:rsidTr="00407A68">
        <w:trPr>
          <w:trHeight w:val="235"/>
        </w:trPr>
        <w:tc>
          <w:tcPr>
            <w:tcW w:w="1454" w:type="dxa"/>
            <w:tcBorders>
              <w:top w:val="nil"/>
              <w:left w:val="nil"/>
              <w:bottom w:val="single" w:sz="12" w:space="0" w:color="000000"/>
              <w:right w:val="nil"/>
            </w:tcBorders>
            <w:shd w:val="clear" w:color="auto" w:fill="auto"/>
          </w:tcPr>
          <w:p w14:paraId="3D7FB563" w14:textId="77777777" w:rsidR="00147061" w:rsidRDefault="005009C1" w:rsidP="00407A68">
            <w:pPr>
              <w:pStyle w:val="IEEEBullet"/>
              <w:ind w:left="0"/>
              <w:rPr>
                <w:rFonts w:asciiTheme="minorHAnsi" w:hAnsiTheme="minorHAnsi" w:cstheme="minorHAnsi"/>
                <w:sz w:val="16"/>
                <w:szCs w:val="16"/>
              </w:rPr>
            </w:pPr>
            <w:r>
              <w:rPr>
                <w:rFonts w:asciiTheme="minorHAnsi" w:hAnsiTheme="minorHAnsi" w:cstheme="minorHAnsi"/>
                <w:sz w:val="16"/>
                <w:szCs w:val="16"/>
              </w:rPr>
              <w:t>Draft Report Days</w:t>
            </w:r>
          </w:p>
        </w:tc>
        <w:tc>
          <w:tcPr>
            <w:tcW w:w="1624" w:type="dxa"/>
            <w:tcBorders>
              <w:top w:val="nil"/>
              <w:left w:val="nil"/>
              <w:bottom w:val="single" w:sz="12" w:space="0" w:color="000000"/>
              <w:right w:val="nil"/>
            </w:tcBorders>
            <w:shd w:val="clear" w:color="auto" w:fill="auto"/>
          </w:tcPr>
          <w:p w14:paraId="675E60D8" w14:textId="77777777" w:rsidR="00147061" w:rsidRDefault="005009C1" w:rsidP="00407A68">
            <w:pPr>
              <w:pStyle w:val="IEEEBullet"/>
              <w:ind w:left="0"/>
              <w:jc w:val="center"/>
              <w:rPr>
                <w:rFonts w:asciiTheme="minorHAnsi" w:hAnsiTheme="minorHAnsi" w:cstheme="minorHAnsi"/>
                <w:sz w:val="16"/>
                <w:szCs w:val="16"/>
              </w:rPr>
            </w:pPr>
            <w:r>
              <w:rPr>
                <w:rFonts w:asciiTheme="minorHAnsi" w:hAnsiTheme="minorHAnsi" w:cstheme="minorHAnsi"/>
                <w:sz w:val="16"/>
                <w:szCs w:val="16"/>
              </w:rPr>
              <w:t>1405</w:t>
            </w:r>
          </w:p>
        </w:tc>
        <w:tc>
          <w:tcPr>
            <w:tcW w:w="1791" w:type="dxa"/>
            <w:tcBorders>
              <w:top w:val="nil"/>
              <w:left w:val="nil"/>
              <w:bottom w:val="single" w:sz="12" w:space="0" w:color="000000"/>
              <w:right w:val="nil"/>
            </w:tcBorders>
            <w:shd w:val="clear" w:color="auto" w:fill="auto"/>
          </w:tcPr>
          <w:p w14:paraId="2AB61C0E" w14:textId="77777777" w:rsidR="00147061" w:rsidRDefault="005009C1" w:rsidP="00407A68">
            <w:pPr>
              <w:pStyle w:val="IEEEBullet"/>
              <w:ind w:left="0"/>
              <w:rPr>
                <w:rFonts w:asciiTheme="minorHAnsi" w:hAnsiTheme="minorHAnsi" w:cstheme="minorHAnsi"/>
                <w:sz w:val="18"/>
                <w:szCs w:val="18"/>
              </w:rPr>
            </w:pPr>
            <w:r>
              <w:rPr>
                <w:rFonts w:asciiTheme="minorHAnsi" w:hAnsiTheme="minorHAnsi" w:cstheme="minorHAnsi"/>
                <w:sz w:val="16"/>
                <w:szCs w:val="16"/>
              </w:rPr>
              <w:t>Skewed Right</w:t>
            </w:r>
          </w:p>
        </w:tc>
      </w:tr>
    </w:tbl>
    <w:p w14:paraId="496D1E40" w14:textId="77777777" w:rsidR="00942F13" w:rsidRDefault="00942F13">
      <w:pPr>
        <w:pStyle w:val="IEEEpara"/>
      </w:pPr>
    </w:p>
    <w:p w14:paraId="0671A470" w14:textId="03BD48E2" w:rsidR="00147061" w:rsidRDefault="005009C1">
      <w:pPr>
        <w:pStyle w:val="IEEEpara"/>
      </w:pPr>
      <w:r>
        <w:t>After calculating the descriptive statistics, the next step was to create histograms for each numerical</w:t>
      </w:r>
      <w:r w:rsidR="00850E13">
        <w:t xml:space="preserve"> attribute.  As shown in Table 2</w:t>
      </w:r>
      <w:r>
        <w:t>, each numerical attribute is skewed right, which is apparent in the histograms (see Fig. 1).  Therefore, these variables</w:t>
      </w:r>
      <w:r w:rsidR="005F5639">
        <w:t xml:space="preserve"> were reviewed for possible</w:t>
      </w:r>
      <w:r>
        <w:t xml:space="preserve"> transform</w:t>
      </w:r>
      <w:r w:rsidR="005F5639">
        <w:t xml:space="preserve">ation in order to have </w:t>
      </w:r>
      <w:r>
        <w:t>a</w:t>
      </w:r>
      <w:r w:rsidR="005F5639">
        <w:t xml:space="preserve"> more</w:t>
      </w:r>
      <w:r>
        <w:t xml:space="preserve"> normal distribution.</w:t>
      </w:r>
    </w:p>
    <w:p w14:paraId="0FA1B157" w14:textId="77777777" w:rsidR="002935D7" w:rsidRDefault="002935D7">
      <w:pPr>
        <w:pStyle w:val="IEEEpara"/>
      </w:pPr>
    </w:p>
    <w:p w14:paraId="086AEE02" w14:textId="563DCD59" w:rsidR="002935D7" w:rsidRDefault="002935D7" w:rsidP="007A6A0C">
      <w:pPr>
        <w:pStyle w:val="IEEEcaption"/>
        <w:spacing w:before="0"/>
        <w:ind w:firstLine="7"/>
        <w:rPr>
          <w:color w:val="auto"/>
        </w:rPr>
      </w:pPr>
      <w:r>
        <w:rPr>
          <w:noProof/>
          <w:lang w:eastAsia="en-US"/>
        </w:rPr>
        <w:drawing>
          <wp:inline distT="0" distB="0" distL="0" distR="0" wp14:anchorId="1BFBA9C6" wp14:editId="4B679EC6">
            <wp:extent cx="3300757" cy="25996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990" cy="2624281"/>
                    </a:xfrm>
                    <a:prstGeom prst="rect">
                      <a:avLst/>
                    </a:prstGeom>
                  </pic:spPr>
                </pic:pic>
              </a:graphicData>
            </a:graphic>
          </wp:inline>
        </w:drawing>
      </w:r>
    </w:p>
    <w:p w14:paraId="279000A5" w14:textId="1C452C15" w:rsidR="00147061" w:rsidRDefault="005009C1">
      <w:pPr>
        <w:pStyle w:val="IEEEcaption"/>
        <w:spacing w:before="0"/>
        <w:ind w:firstLine="187"/>
        <w:rPr>
          <w:color w:val="auto"/>
        </w:rPr>
      </w:pPr>
      <w:r>
        <w:rPr>
          <w:color w:val="auto"/>
        </w:rPr>
        <w:t>Fig. 1. Histograms of Numeric Variables.</w:t>
      </w:r>
    </w:p>
    <w:p w14:paraId="24B8D362" w14:textId="77777777" w:rsidR="0086062F" w:rsidRDefault="0086062F">
      <w:pPr>
        <w:pStyle w:val="IEEEcaption"/>
        <w:spacing w:before="0"/>
        <w:ind w:firstLine="187"/>
        <w:rPr>
          <w:color w:val="auto"/>
        </w:rPr>
      </w:pPr>
    </w:p>
    <w:p w14:paraId="5A758B76" w14:textId="2D9212E9" w:rsidR="00147061" w:rsidRDefault="005009C1">
      <w:pPr>
        <w:pStyle w:val="IEEEcaption"/>
        <w:spacing w:before="0"/>
        <w:ind w:firstLine="187"/>
        <w:rPr>
          <w:rFonts w:ascii="Times New Roman" w:hAnsi="Times New Roman"/>
          <w:color w:val="auto"/>
          <w:sz w:val="20"/>
        </w:rPr>
      </w:pPr>
      <w:r>
        <w:rPr>
          <w:rFonts w:ascii="Times New Roman" w:hAnsi="Times New Roman"/>
          <w:color w:val="auto"/>
          <w:sz w:val="20"/>
        </w:rPr>
        <w:t>Along with the histograms, scatterplots were created to compare each input numerical attribute to the draft report output variable.  When comparing the draft report to the planning and fieldwork variables, the scatterplot revealed no correlations between the input variable and the draft report output variable</w:t>
      </w:r>
      <w:r w:rsidR="00942F13">
        <w:rPr>
          <w:rFonts w:ascii="Times New Roman" w:hAnsi="Times New Roman"/>
          <w:color w:val="auto"/>
          <w:sz w:val="20"/>
        </w:rPr>
        <w:t xml:space="preserve"> (see Fig.</w:t>
      </w:r>
      <w:r w:rsidR="00397F5B">
        <w:rPr>
          <w:rFonts w:ascii="Times New Roman" w:hAnsi="Times New Roman"/>
          <w:color w:val="auto"/>
          <w:sz w:val="20"/>
        </w:rPr>
        <w:t xml:space="preserve"> </w:t>
      </w:r>
      <w:r w:rsidR="00942F13">
        <w:rPr>
          <w:rFonts w:ascii="Times New Roman" w:hAnsi="Times New Roman"/>
          <w:color w:val="auto"/>
          <w:sz w:val="20"/>
        </w:rPr>
        <w:t>2)</w:t>
      </w:r>
      <w:r>
        <w:rPr>
          <w:rFonts w:ascii="Times New Roman" w:hAnsi="Times New Roman"/>
          <w:color w:val="auto"/>
          <w:sz w:val="20"/>
        </w:rPr>
        <w:t>.  This means there is no apparent relationship between the planning days and draft report days or between the fieldwork days and draft report days.</w:t>
      </w:r>
    </w:p>
    <w:p w14:paraId="43038D69" w14:textId="01A917E1" w:rsidR="00D12658" w:rsidRDefault="00D12658" w:rsidP="00D12658">
      <w:pPr>
        <w:pStyle w:val="IEEEcaption"/>
        <w:spacing w:before="0"/>
        <w:ind w:firstLine="90"/>
      </w:pPr>
      <w:r>
        <w:rPr>
          <w:noProof/>
          <w:lang w:eastAsia="en-US"/>
        </w:rPr>
        <w:lastRenderedPageBreak/>
        <w:drawing>
          <wp:inline distT="0" distB="0" distL="0" distR="0" wp14:anchorId="51F44B93" wp14:editId="48113D1D">
            <wp:extent cx="3029447" cy="360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070" cy="3616090"/>
                    </a:xfrm>
                    <a:prstGeom prst="rect">
                      <a:avLst/>
                    </a:prstGeom>
                  </pic:spPr>
                </pic:pic>
              </a:graphicData>
            </a:graphic>
          </wp:inline>
        </w:drawing>
      </w:r>
    </w:p>
    <w:p w14:paraId="03F0530C" w14:textId="61922174" w:rsidR="00147061" w:rsidRDefault="005009C1">
      <w:pPr>
        <w:pStyle w:val="IEEEcaption"/>
        <w:rPr>
          <w:color w:val="auto"/>
        </w:rPr>
      </w:pPr>
      <w:r>
        <w:rPr>
          <w:color w:val="auto"/>
        </w:rPr>
        <w:t>Fig. 2. Planning and Fieldwork vs. Draft Report Scatterplots.</w:t>
      </w:r>
    </w:p>
    <w:p w14:paraId="3E1A4A97" w14:textId="77777777" w:rsidR="0086062F" w:rsidRDefault="0086062F">
      <w:pPr>
        <w:pStyle w:val="IEEEcaption"/>
        <w:rPr>
          <w:color w:val="auto"/>
        </w:rPr>
      </w:pPr>
    </w:p>
    <w:p w14:paraId="35AE9800" w14:textId="77777777" w:rsidR="00147061" w:rsidRDefault="005009C1">
      <w:pPr>
        <w:pStyle w:val="IEEEcaption"/>
        <w:rPr>
          <w:rFonts w:ascii="Times New Roman" w:hAnsi="Times New Roman"/>
          <w:b/>
          <w:color w:val="auto"/>
          <w:sz w:val="20"/>
        </w:rPr>
      </w:pPr>
      <w:r>
        <w:rPr>
          <w:rFonts w:ascii="Times New Roman" w:hAnsi="Times New Roman"/>
          <w:b/>
          <w:color w:val="auto"/>
          <w:sz w:val="20"/>
        </w:rPr>
        <w:t>Natural language data</w:t>
      </w:r>
    </w:p>
    <w:p w14:paraId="060A0B06" w14:textId="7C4D442A" w:rsidR="00147061" w:rsidRDefault="005001CC">
      <w:pPr>
        <w:pStyle w:val="IEEEcaption"/>
        <w:rPr>
          <w:rFonts w:ascii="Times New Roman" w:hAnsi="Times New Roman"/>
          <w:color w:val="auto"/>
          <w:sz w:val="20"/>
        </w:rPr>
      </w:pPr>
      <w:r>
        <w:rPr>
          <w:rFonts w:ascii="Times New Roman" w:hAnsi="Times New Roman"/>
          <w:color w:val="auto"/>
          <w:sz w:val="20"/>
        </w:rPr>
        <w:t xml:space="preserve">The AFAA report titles are important because they describe the </w:t>
      </w:r>
      <w:r w:rsidR="00D042B9">
        <w:rPr>
          <w:rFonts w:ascii="Times New Roman" w:hAnsi="Times New Roman"/>
          <w:color w:val="auto"/>
          <w:sz w:val="20"/>
        </w:rPr>
        <w:t>type of audit work</w:t>
      </w:r>
      <w:r>
        <w:rPr>
          <w:rFonts w:ascii="Times New Roman" w:hAnsi="Times New Roman"/>
          <w:color w:val="auto"/>
          <w:sz w:val="20"/>
        </w:rPr>
        <w:t xml:space="preserve"> that was </w:t>
      </w:r>
      <w:r w:rsidR="00D042B9">
        <w:rPr>
          <w:rFonts w:ascii="Times New Roman" w:hAnsi="Times New Roman"/>
          <w:color w:val="auto"/>
          <w:sz w:val="20"/>
        </w:rPr>
        <w:t>performed or the subject area that was reviewed</w:t>
      </w:r>
      <w:r>
        <w:rPr>
          <w:rFonts w:ascii="Times New Roman" w:hAnsi="Times New Roman"/>
          <w:color w:val="auto"/>
          <w:sz w:val="20"/>
        </w:rPr>
        <w:t>.  For example, if the report title is Security Clearance Inventory, then this was an inve</w:t>
      </w:r>
      <w:r w:rsidR="003E3ECE">
        <w:rPr>
          <w:rFonts w:ascii="Times New Roman" w:hAnsi="Times New Roman"/>
          <w:color w:val="auto"/>
          <w:sz w:val="20"/>
        </w:rPr>
        <w:t>ntory type audit</w:t>
      </w:r>
      <w:r w:rsidR="00D042B9">
        <w:rPr>
          <w:rFonts w:ascii="Times New Roman" w:hAnsi="Times New Roman"/>
          <w:color w:val="auto"/>
          <w:sz w:val="20"/>
        </w:rPr>
        <w:t xml:space="preserve"> and could be performed quickly</w:t>
      </w:r>
      <w:r w:rsidR="003E3ECE">
        <w:rPr>
          <w:rFonts w:ascii="Times New Roman" w:hAnsi="Times New Roman"/>
          <w:color w:val="auto"/>
          <w:sz w:val="20"/>
        </w:rPr>
        <w:t xml:space="preserve">.  In addition, if the report title is </w:t>
      </w:r>
      <w:r w:rsidR="00D042B9" w:rsidRPr="00D042B9">
        <w:rPr>
          <w:rFonts w:ascii="Times New Roman" w:hAnsi="Times New Roman"/>
          <w:color w:val="auto"/>
          <w:sz w:val="20"/>
        </w:rPr>
        <w:t>Nuclear Cyber Security</w:t>
      </w:r>
      <w:r w:rsidR="003E3ECE">
        <w:rPr>
          <w:rFonts w:ascii="Times New Roman" w:hAnsi="Times New Roman"/>
          <w:color w:val="auto"/>
          <w:sz w:val="20"/>
        </w:rPr>
        <w:t xml:space="preserve">, then this </w:t>
      </w:r>
      <w:r w:rsidR="00D042B9">
        <w:rPr>
          <w:rFonts w:ascii="Times New Roman" w:hAnsi="Times New Roman"/>
          <w:color w:val="auto"/>
          <w:sz w:val="20"/>
        </w:rPr>
        <w:t>subject area may require more time to review</w:t>
      </w:r>
      <w:r w:rsidR="003E3ECE">
        <w:rPr>
          <w:rFonts w:ascii="Times New Roman" w:hAnsi="Times New Roman"/>
          <w:color w:val="auto"/>
          <w:sz w:val="20"/>
        </w:rPr>
        <w:t>.</w:t>
      </w:r>
      <w:r w:rsidR="005009C1">
        <w:rPr>
          <w:rFonts w:ascii="Times New Roman" w:hAnsi="Times New Roman"/>
          <w:color w:val="auto"/>
          <w:sz w:val="20"/>
        </w:rPr>
        <w:t xml:space="preserve"> </w:t>
      </w:r>
      <w:r w:rsidR="003E3ECE">
        <w:rPr>
          <w:rFonts w:ascii="Times New Roman" w:hAnsi="Times New Roman"/>
          <w:color w:val="auto"/>
          <w:sz w:val="20"/>
        </w:rPr>
        <w:t xml:space="preserve">Each type of audit </w:t>
      </w:r>
      <w:r w:rsidR="00D042B9">
        <w:rPr>
          <w:rFonts w:ascii="Times New Roman" w:hAnsi="Times New Roman"/>
          <w:color w:val="auto"/>
          <w:sz w:val="20"/>
        </w:rPr>
        <w:t xml:space="preserve">or subject area </w:t>
      </w:r>
      <w:r w:rsidR="003E3ECE">
        <w:rPr>
          <w:rFonts w:ascii="Times New Roman" w:hAnsi="Times New Roman"/>
          <w:color w:val="auto"/>
          <w:sz w:val="20"/>
        </w:rPr>
        <w:t>can influence the average cycle days until a report is issued to management.  In this project, the total number of unique words in the titles was 1,590 and the average word length was 5.9.</w:t>
      </w:r>
      <w:r w:rsidR="005009C1">
        <w:rPr>
          <w:rFonts w:ascii="Times New Roman" w:hAnsi="Times New Roman"/>
          <w:color w:val="auto"/>
          <w:sz w:val="20"/>
        </w:rPr>
        <w:t xml:space="preserve"> </w:t>
      </w:r>
    </w:p>
    <w:p w14:paraId="4A55A28C" w14:textId="57EC3A7A" w:rsidR="00147061" w:rsidRDefault="003E3ECE">
      <w:pPr>
        <w:pStyle w:val="IEEEcaption"/>
      </w:pPr>
      <w:r>
        <w:rPr>
          <w:rFonts w:ascii="Times New Roman" w:hAnsi="Times New Roman"/>
          <w:color w:val="auto"/>
          <w:sz w:val="20"/>
        </w:rPr>
        <w:t xml:space="preserve">In order to include the report titles as part of the modeling process, the titles had to </w:t>
      </w:r>
      <w:r w:rsidR="00D34AF8">
        <w:rPr>
          <w:rFonts w:ascii="Times New Roman" w:hAnsi="Times New Roman"/>
          <w:color w:val="auto"/>
          <w:sz w:val="20"/>
        </w:rPr>
        <w:t xml:space="preserve">first </w:t>
      </w:r>
      <w:r>
        <w:rPr>
          <w:rFonts w:ascii="Times New Roman" w:hAnsi="Times New Roman"/>
          <w:color w:val="auto"/>
          <w:sz w:val="20"/>
        </w:rPr>
        <w:t>be standardized</w:t>
      </w:r>
      <w:r w:rsidR="00D34AF8">
        <w:rPr>
          <w:rFonts w:ascii="Times New Roman" w:hAnsi="Times New Roman"/>
          <w:color w:val="auto"/>
          <w:sz w:val="20"/>
        </w:rPr>
        <w:t xml:space="preserve">. </w:t>
      </w:r>
      <w:r w:rsidR="005009C1">
        <w:rPr>
          <w:rFonts w:ascii="Times New Roman" w:hAnsi="Times New Roman"/>
          <w:color w:val="auto"/>
          <w:sz w:val="20"/>
        </w:rPr>
        <w:t xml:space="preserve"> </w:t>
      </w:r>
      <w:r w:rsidR="00D34AF8">
        <w:rPr>
          <w:rFonts w:ascii="Times New Roman" w:hAnsi="Times New Roman"/>
          <w:color w:val="auto"/>
          <w:sz w:val="20"/>
        </w:rPr>
        <w:t>This meant that</w:t>
      </w:r>
      <w:r w:rsidR="005009C1">
        <w:rPr>
          <w:rFonts w:ascii="Times New Roman" w:hAnsi="Times New Roman"/>
          <w:color w:val="auto"/>
          <w:sz w:val="20"/>
        </w:rPr>
        <w:t xml:space="preserve"> all non-alphabetical characters</w:t>
      </w:r>
      <w:r w:rsidR="00D34AF8">
        <w:rPr>
          <w:rFonts w:ascii="Times New Roman" w:hAnsi="Times New Roman"/>
          <w:color w:val="auto"/>
          <w:sz w:val="20"/>
        </w:rPr>
        <w:t xml:space="preserve"> had to be remove</w:t>
      </w:r>
      <w:r w:rsidR="005009C1">
        <w:rPr>
          <w:rFonts w:ascii="Times New Roman" w:hAnsi="Times New Roman"/>
          <w:color w:val="auto"/>
          <w:sz w:val="20"/>
        </w:rPr>
        <w:t xml:space="preserve"> and </w:t>
      </w:r>
      <w:r w:rsidR="00D34AF8">
        <w:rPr>
          <w:rFonts w:ascii="Times New Roman" w:hAnsi="Times New Roman"/>
          <w:color w:val="auto"/>
          <w:sz w:val="20"/>
        </w:rPr>
        <w:t xml:space="preserve">the remaining </w:t>
      </w:r>
      <w:r w:rsidR="005009C1">
        <w:rPr>
          <w:rFonts w:ascii="Times New Roman" w:hAnsi="Times New Roman"/>
          <w:color w:val="auto"/>
          <w:sz w:val="20"/>
        </w:rPr>
        <w:t>text was</w:t>
      </w:r>
      <w:r w:rsidR="00D34AF8">
        <w:rPr>
          <w:rFonts w:ascii="Times New Roman" w:hAnsi="Times New Roman"/>
          <w:color w:val="auto"/>
          <w:sz w:val="20"/>
        </w:rPr>
        <w:t xml:space="preserve"> in</w:t>
      </w:r>
      <w:r w:rsidR="005009C1">
        <w:rPr>
          <w:rFonts w:ascii="Times New Roman" w:hAnsi="Times New Roman"/>
          <w:color w:val="auto"/>
          <w:sz w:val="20"/>
        </w:rPr>
        <w:t xml:space="preserve"> lower case</w:t>
      </w:r>
      <w:r w:rsidR="00D34AF8">
        <w:rPr>
          <w:rFonts w:ascii="Times New Roman" w:hAnsi="Times New Roman"/>
          <w:color w:val="auto"/>
          <w:sz w:val="20"/>
        </w:rPr>
        <w:t xml:space="preserve"> format</w:t>
      </w:r>
      <w:r w:rsidR="005009C1">
        <w:rPr>
          <w:rFonts w:ascii="Times New Roman" w:hAnsi="Times New Roman"/>
          <w:color w:val="auto"/>
          <w:sz w:val="20"/>
        </w:rPr>
        <w:t>.  Next, tokenization</w:t>
      </w:r>
      <w:r w:rsidR="00D34AF8">
        <w:rPr>
          <w:rFonts w:ascii="Times New Roman" w:hAnsi="Times New Roman"/>
          <w:color w:val="auto"/>
          <w:sz w:val="20"/>
        </w:rPr>
        <w:t xml:space="preserve"> was implemented to create a list of words. Then,</w:t>
      </w:r>
      <w:r w:rsidR="005009C1">
        <w:rPr>
          <w:rFonts w:ascii="Times New Roman" w:hAnsi="Times New Roman"/>
          <w:color w:val="auto"/>
          <w:sz w:val="20"/>
        </w:rPr>
        <w:t xml:space="preserve"> all the “stop words” </w:t>
      </w:r>
      <w:r w:rsidR="00D34AF8">
        <w:rPr>
          <w:rFonts w:ascii="Times New Roman" w:hAnsi="Times New Roman"/>
          <w:color w:val="auto"/>
          <w:sz w:val="20"/>
        </w:rPr>
        <w:t xml:space="preserve">were removed </w:t>
      </w:r>
      <w:r w:rsidR="005009C1">
        <w:rPr>
          <w:rFonts w:ascii="Times New Roman" w:hAnsi="Times New Roman"/>
          <w:color w:val="auto"/>
          <w:sz w:val="20"/>
        </w:rPr>
        <w:t xml:space="preserve">from the </w:t>
      </w:r>
      <w:r w:rsidR="00D34AF8">
        <w:rPr>
          <w:rFonts w:ascii="Times New Roman" w:hAnsi="Times New Roman"/>
          <w:color w:val="auto"/>
          <w:sz w:val="20"/>
        </w:rPr>
        <w:t>list</w:t>
      </w:r>
      <w:r w:rsidR="005009C1">
        <w:rPr>
          <w:rFonts w:ascii="Times New Roman" w:hAnsi="Times New Roman"/>
          <w:color w:val="auto"/>
          <w:sz w:val="20"/>
        </w:rPr>
        <w:t xml:space="preserve"> in order to create a list with the most important words.  Finally, a graph of the most </w:t>
      </w:r>
      <w:r w:rsidR="00D34AF8">
        <w:rPr>
          <w:rFonts w:ascii="Times New Roman" w:hAnsi="Times New Roman"/>
          <w:color w:val="auto"/>
          <w:sz w:val="20"/>
        </w:rPr>
        <w:t xml:space="preserve">12 </w:t>
      </w:r>
      <w:r w:rsidR="005009C1">
        <w:rPr>
          <w:rFonts w:ascii="Times New Roman" w:hAnsi="Times New Roman"/>
          <w:color w:val="auto"/>
          <w:sz w:val="20"/>
        </w:rPr>
        <w:t xml:space="preserve">common words </w:t>
      </w:r>
      <w:r w:rsidR="00D34AF8">
        <w:rPr>
          <w:rFonts w:ascii="Times New Roman" w:hAnsi="Times New Roman"/>
          <w:color w:val="auto"/>
          <w:sz w:val="20"/>
        </w:rPr>
        <w:t xml:space="preserve">was developed </w:t>
      </w:r>
      <w:r w:rsidR="005009C1">
        <w:rPr>
          <w:rFonts w:ascii="Times New Roman" w:hAnsi="Times New Roman"/>
          <w:color w:val="auto"/>
          <w:sz w:val="20"/>
        </w:rPr>
        <w:t>(see Fig.</w:t>
      </w:r>
      <w:r w:rsidR="00397F5B">
        <w:rPr>
          <w:rFonts w:ascii="Times New Roman" w:hAnsi="Times New Roman"/>
          <w:color w:val="auto"/>
          <w:sz w:val="20"/>
        </w:rPr>
        <w:t xml:space="preserve"> </w:t>
      </w:r>
      <w:r w:rsidR="005009C1">
        <w:rPr>
          <w:rFonts w:ascii="Times New Roman" w:hAnsi="Times New Roman"/>
          <w:color w:val="auto"/>
          <w:sz w:val="20"/>
        </w:rPr>
        <w:t xml:space="preserve">3).  </w:t>
      </w:r>
      <w:r w:rsidR="00D34AF8">
        <w:rPr>
          <w:rFonts w:ascii="Times New Roman" w:hAnsi="Times New Roman"/>
          <w:color w:val="auto"/>
          <w:sz w:val="20"/>
        </w:rPr>
        <w:t>Within the 12</w:t>
      </w:r>
      <w:r w:rsidR="005009C1">
        <w:rPr>
          <w:rFonts w:ascii="Times New Roman" w:hAnsi="Times New Roman"/>
          <w:color w:val="auto"/>
          <w:sz w:val="20"/>
        </w:rPr>
        <w:t xml:space="preserve"> most common words</w:t>
      </w:r>
      <w:r w:rsidR="00D34AF8">
        <w:rPr>
          <w:rFonts w:ascii="Times New Roman" w:hAnsi="Times New Roman"/>
          <w:color w:val="auto"/>
          <w:sz w:val="20"/>
        </w:rPr>
        <w:t>, ten of words</w:t>
      </w:r>
      <w:r w:rsidR="005009C1">
        <w:rPr>
          <w:rFonts w:ascii="Times New Roman" w:hAnsi="Times New Roman"/>
          <w:color w:val="auto"/>
          <w:sz w:val="20"/>
        </w:rPr>
        <w:t xml:space="preserve"> all related to the unit or location where the audit was performed.  This is because most of the report titles included the unit that was audited and the unit’s location along with the main report title.</w:t>
      </w:r>
    </w:p>
    <w:p w14:paraId="5249A5A2" w14:textId="39923B04" w:rsidR="00147061" w:rsidRDefault="00147061">
      <w:pPr>
        <w:pStyle w:val="IEEEcaption"/>
        <w:spacing w:after="0"/>
        <w:ind w:firstLine="187"/>
        <w:rPr>
          <w:color w:val="7030A0"/>
        </w:rPr>
      </w:pPr>
    </w:p>
    <w:p w14:paraId="7ABDEFAD" w14:textId="5980A7B3" w:rsidR="00773A5E" w:rsidRDefault="00773A5E" w:rsidP="00942F13">
      <w:pPr>
        <w:pStyle w:val="IEEEcaption"/>
        <w:spacing w:after="0"/>
        <w:ind w:firstLine="0"/>
        <w:rPr>
          <w:color w:val="7030A0"/>
        </w:rPr>
      </w:pPr>
      <w:r>
        <w:rPr>
          <w:noProof/>
          <w:color w:val="7030A0"/>
          <w:lang w:eastAsia="en-US"/>
        </w:rPr>
        <w:drawing>
          <wp:inline distT="0" distB="0" distL="0" distR="0" wp14:anchorId="37AE53BF" wp14:editId="3FCF27C9">
            <wp:extent cx="3195955" cy="2816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O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2816860"/>
                    </a:xfrm>
                    <a:prstGeom prst="rect">
                      <a:avLst/>
                    </a:prstGeom>
                  </pic:spPr>
                </pic:pic>
              </a:graphicData>
            </a:graphic>
          </wp:inline>
        </w:drawing>
      </w:r>
    </w:p>
    <w:p w14:paraId="6E640A58" w14:textId="77777777" w:rsidR="00147061" w:rsidRDefault="005009C1">
      <w:pPr>
        <w:pStyle w:val="IEEEcaption"/>
        <w:rPr>
          <w:color w:val="auto"/>
        </w:rPr>
      </w:pPr>
      <w:r>
        <w:rPr>
          <w:color w:val="auto"/>
        </w:rPr>
        <w:t>Fig. 3. Report Title Most Common Words.</w:t>
      </w:r>
    </w:p>
    <w:p w14:paraId="0EEDD1A6" w14:textId="77777777" w:rsidR="00147061" w:rsidRPr="00551C18" w:rsidRDefault="005009C1">
      <w:pPr>
        <w:pStyle w:val="Heading3"/>
        <w:spacing w:before="360" w:after="120" w:line="240" w:lineRule="exact"/>
        <w:rPr>
          <w:rFonts w:ascii="Times" w:hAnsi="Times"/>
          <w:b w:val="0"/>
          <w:smallCaps/>
          <w:sz w:val="20"/>
        </w:rPr>
      </w:pPr>
      <w:r w:rsidRPr="00551C18">
        <w:rPr>
          <w:rFonts w:ascii="Times" w:hAnsi="Times"/>
          <w:b w:val="0"/>
          <w:smallCaps/>
          <w:sz w:val="20"/>
        </w:rPr>
        <w:t xml:space="preserve"> II. Method</w:t>
      </w:r>
    </w:p>
    <w:p w14:paraId="49A02830" w14:textId="02304200" w:rsidR="00147061" w:rsidRDefault="00C25903">
      <w:pPr>
        <w:pStyle w:val="IEEEpara"/>
      </w:pPr>
      <w:r w:rsidRPr="00551C18">
        <w:t xml:space="preserve">After completing the data understanding process and reviewing data, it was determined that the data was not quite ready to be used for modeling.  Both the numerical and categorical data required work </w:t>
      </w:r>
      <w:r w:rsidR="00632972" w:rsidRPr="00551C18">
        <w:t xml:space="preserve">in order </w:t>
      </w:r>
      <w:r w:rsidRPr="00551C18">
        <w:t>to prepare it for modeling.</w:t>
      </w:r>
    </w:p>
    <w:p w14:paraId="2032850B" w14:textId="77777777" w:rsidR="00147061" w:rsidRPr="00551C18" w:rsidRDefault="005009C1">
      <w:pPr>
        <w:pStyle w:val="ListParagraph"/>
        <w:numPr>
          <w:ilvl w:val="0"/>
          <w:numId w:val="3"/>
        </w:numPr>
        <w:spacing w:before="120" w:after="120" w:line="240" w:lineRule="exact"/>
        <w:jc w:val="both"/>
        <w:rPr>
          <w:rFonts w:ascii="Times" w:hAnsi="Times"/>
          <w:i/>
        </w:rPr>
      </w:pPr>
      <w:r w:rsidRPr="00551C18">
        <w:rPr>
          <w:rFonts w:ascii="Times" w:hAnsi="Times"/>
          <w:i/>
        </w:rPr>
        <w:t xml:space="preserve">Data Preparation  </w:t>
      </w:r>
    </w:p>
    <w:p w14:paraId="4D26B509" w14:textId="20E5317B" w:rsidR="00147061" w:rsidRDefault="00632972">
      <w:pPr>
        <w:pStyle w:val="IEEEpara"/>
      </w:pPr>
      <w:r w:rsidRPr="00551C18">
        <w:t>During the review of the histograms, it was determined that the draft report data was significantly skewed right.  Since the draft report data was the output variable, it required transformation.  The log transformation was used to improve the normal distribution of the data</w:t>
      </w:r>
      <w:r w:rsidR="004D6908" w:rsidRPr="00551C18">
        <w:t xml:space="preserve"> (see Fig</w:t>
      </w:r>
      <w:r w:rsidR="00397F5B">
        <w:t>.</w:t>
      </w:r>
      <w:r w:rsidR="004D6908" w:rsidRPr="00551C18">
        <w:t xml:space="preserve"> 4).</w:t>
      </w:r>
    </w:p>
    <w:p w14:paraId="13A80F75" w14:textId="77777777" w:rsidR="003E1F3B" w:rsidRDefault="003E1F3B">
      <w:pPr>
        <w:pStyle w:val="IEEEpara"/>
      </w:pPr>
    </w:p>
    <w:p w14:paraId="30729625" w14:textId="42DE8F88" w:rsidR="00E15A5C" w:rsidRPr="00C85467" w:rsidRDefault="009406B8" w:rsidP="00E15A5C">
      <w:pPr>
        <w:pStyle w:val="IEEEpara"/>
        <w:ind w:firstLine="0"/>
      </w:pPr>
      <w:r>
        <w:rPr>
          <w:noProof/>
          <w:lang w:eastAsia="en-US"/>
        </w:rPr>
        <w:drawing>
          <wp:inline distT="0" distB="0" distL="0" distR="0" wp14:anchorId="0763EF0B" wp14:editId="3E4577F4">
            <wp:extent cx="3195955" cy="1330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raftReportLo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330960"/>
                    </a:xfrm>
                    <a:prstGeom prst="rect">
                      <a:avLst/>
                    </a:prstGeom>
                  </pic:spPr>
                </pic:pic>
              </a:graphicData>
            </a:graphic>
          </wp:inline>
        </w:drawing>
      </w:r>
    </w:p>
    <w:p w14:paraId="09C4BF3D" w14:textId="11AC4878" w:rsidR="00E15A5C" w:rsidRDefault="00E15A5C" w:rsidP="004D6908">
      <w:pPr>
        <w:pStyle w:val="IEEEcaption"/>
        <w:rPr>
          <w:color w:val="auto"/>
        </w:rPr>
      </w:pPr>
      <w:r>
        <w:rPr>
          <w:color w:val="auto"/>
        </w:rPr>
        <w:t xml:space="preserve">Fig. 4. </w:t>
      </w:r>
      <w:r w:rsidR="00C25903">
        <w:rPr>
          <w:color w:val="auto"/>
        </w:rPr>
        <w:t>Draft Report Log Transformation</w:t>
      </w:r>
      <w:r>
        <w:rPr>
          <w:color w:val="auto"/>
        </w:rPr>
        <w:t>.</w:t>
      </w:r>
    </w:p>
    <w:p w14:paraId="1964CD42" w14:textId="77777777" w:rsidR="0086062F" w:rsidRDefault="0086062F" w:rsidP="004D6908">
      <w:pPr>
        <w:pStyle w:val="IEEEcaption"/>
        <w:rPr>
          <w:color w:val="auto"/>
        </w:rPr>
      </w:pPr>
    </w:p>
    <w:p w14:paraId="2580F0BF" w14:textId="4B63476D" w:rsidR="00DC1770" w:rsidRDefault="004D6908" w:rsidP="00551C18">
      <w:pPr>
        <w:pStyle w:val="IEEEcaption"/>
        <w:rPr>
          <w:color w:val="auto"/>
          <w:sz w:val="20"/>
        </w:rPr>
      </w:pPr>
      <w:r w:rsidRPr="004D6908">
        <w:rPr>
          <w:color w:val="auto"/>
          <w:sz w:val="20"/>
        </w:rPr>
        <w:t>In addi</w:t>
      </w:r>
      <w:r>
        <w:rPr>
          <w:color w:val="auto"/>
          <w:sz w:val="20"/>
        </w:rPr>
        <w:t xml:space="preserve">tion to the draft report transformation, the office and report title data required cleaning.  The office data included long descriptive names, such as </w:t>
      </w:r>
      <w:r w:rsidRPr="004D6908">
        <w:rPr>
          <w:color w:val="auto"/>
          <w:sz w:val="20"/>
        </w:rPr>
        <w:t>A00900 - Special Programs (FDZ)</w:t>
      </w:r>
      <w:r>
        <w:rPr>
          <w:color w:val="auto"/>
          <w:sz w:val="20"/>
        </w:rPr>
        <w:t xml:space="preserve">.  Therefore, the names were shorten to make the modeling process </w:t>
      </w:r>
      <w:r w:rsidR="007F4D60">
        <w:rPr>
          <w:color w:val="auto"/>
          <w:sz w:val="20"/>
        </w:rPr>
        <w:t xml:space="preserve">simpler.  For the report title data, all the unit and the unit’s location information was removed from the title.  This improved the most common words list by including words </w:t>
      </w:r>
      <w:r w:rsidR="007F4D60">
        <w:rPr>
          <w:color w:val="auto"/>
          <w:sz w:val="20"/>
        </w:rPr>
        <w:lastRenderedPageBreak/>
        <w:t>that were more meaningful to the audit accomplished</w:t>
      </w:r>
      <w:r w:rsidR="00551C18">
        <w:rPr>
          <w:color w:val="auto"/>
          <w:sz w:val="20"/>
        </w:rPr>
        <w:t>, such as management, program, equipment, and access (see Fig</w:t>
      </w:r>
      <w:r w:rsidR="00397F5B">
        <w:rPr>
          <w:color w:val="auto"/>
          <w:sz w:val="20"/>
        </w:rPr>
        <w:t>.</w:t>
      </w:r>
      <w:r w:rsidR="00551C18">
        <w:rPr>
          <w:color w:val="auto"/>
          <w:sz w:val="20"/>
        </w:rPr>
        <w:t xml:space="preserve"> 5)</w:t>
      </w:r>
      <w:r w:rsidR="007F4D60">
        <w:rPr>
          <w:color w:val="auto"/>
          <w:sz w:val="20"/>
        </w:rPr>
        <w:t>.</w:t>
      </w:r>
    </w:p>
    <w:p w14:paraId="2ED897AF" w14:textId="4234B9C7" w:rsidR="00DC1770" w:rsidRDefault="009406B8" w:rsidP="009406B8">
      <w:pPr>
        <w:pStyle w:val="IEEEcaption"/>
        <w:ind w:firstLine="0"/>
        <w:rPr>
          <w:color w:val="0070C0"/>
        </w:rPr>
      </w:pPr>
      <w:r>
        <w:rPr>
          <w:noProof/>
          <w:lang w:eastAsia="en-US"/>
        </w:rPr>
        <w:drawing>
          <wp:inline distT="0" distB="0" distL="0" distR="0" wp14:anchorId="7414012F" wp14:editId="16A081D3">
            <wp:extent cx="3108960" cy="49894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8960" cy="4989410"/>
                    </a:xfrm>
                    <a:prstGeom prst="rect">
                      <a:avLst/>
                    </a:prstGeom>
                  </pic:spPr>
                </pic:pic>
              </a:graphicData>
            </a:graphic>
          </wp:inline>
        </w:drawing>
      </w:r>
    </w:p>
    <w:p w14:paraId="06CC5A22" w14:textId="4B231027" w:rsidR="00E15A5C" w:rsidRDefault="00E15A5C" w:rsidP="00E15A5C">
      <w:pPr>
        <w:pStyle w:val="IEEEcaption"/>
        <w:rPr>
          <w:color w:val="auto"/>
        </w:rPr>
      </w:pPr>
      <w:r>
        <w:rPr>
          <w:color w:val="auto"/>
        </w:rPr>
        <w:t>Fig. 5. Report Tit</w:t>
      </w:r>
      <w:r w:rsidR="0014074A">
        <w:rPr>
          <w:color w:val="auto"/>
        </w:rPr>
        <w:t>le Most Common Words Comparison.</w:t>
      </w:r>
    </w:p>
    <w:p w14:paraId="1B2F8455" w14:textId="77777777" w:rsidR="0086062F" w:rsidRDefault="0086062F" w:rsidP="00E15A5C">
      <w:pPr>
        <w:pStyle w:val="IEEEcaption"/>
        <w:rPr>
          <w:color w:val="auto"/>
        </w:rPr>
      </w:pPr>
    </w:p>
    <w:p w14:paraId="4C8D00AE" w14:textId="26866BD7" w:rsidR="00397F5B" w:rsidRPr="00397F5B" w:rsidRDefault="00397F5B" w:rsidP="00E15A5C">
      <w:pPr>
        <w:pStyle w:val="IEEEcaption"/>
        <w:rPr>
          <w:rFonts w:ascii="Times New Roman" w:hAnsi="Times New Roman"/>
          <w:color w:val="auto"/>
          <w:sz w:val="20"/>
        </w:rPr>
      </w:pPr>
      <w:r w:rsidRPr="00397F5B">
        <w:rPr>
          <w:rFonts w:ascii="Times New Roman" w:hAnsi="Times New Roman"/>
          <w:color w:val="auto"/>
          <w:sz w:val="20"/>
        </w:rPr>
        <w:t>Once both the numerical and categorical data was prepared, they were combined to begin the modeling process.  The combined dataset consisted of 50 input variables and one output variable.  The input variables included 20 of the most common words in the report titles.</w:t>
      </w:r>
    </w:p>
    <w:p w14:paraId="60FC0364" w14:textId="77777777" w:rsidR="00147061" w:rsidRPr="00AD7FA9" w:rsidRDefault="005009C1">
      <w:pPr>
        <w:pStyle w:val="ListParagraph"/>
        <w:numPr>
          <w:ilvl w:val="0"/>
          <w:numId w:val="3"/>
        </w:numPr>
        <w:spacing w:before="120" w:after="120" w:line="240" w:lineRule="exact"/>
        <w:jc w:val="both"/>
        <w:rPr>
          <w:rFonts w:ascii="Times" w:hAnsi="Times"/>
          <w:i/>
        </w:rPr>
      </w:pPr>
      <w:r w:rsidRPr="00AD7FA9">
        <w:rPr>
          <w:rFonts w:ascii="Times" w:hAnsi="Times"/>
          <w:i/>
        </w:rPr>
        <w:t>Metrics</w:t>
      </w:r>
    </w:p>
    <w:p w14:paraId="3F1B0D76" w14:textId="08F47465" w:rsidR="00147061" w:rsidRDefault="00F12645">
      <w:pPr>
        <w:pStyle w:val="IEEEpara"/>
      </w:pPr>
      <w:r w:rsidRPr="00AD7FA9">
        <w:t>In this analysis, the mean squared error (MSE)</w:t>
      </w:r>
      <w:r w:rsidR="00FF5E8E">
        <w:t xml:space="preserve"> metric</w:t>
      </w:r>
      <w:r>
        <w:t xml:space="preserve"> was</w:t>
      </w:r>
      <w:r w:rsidRPr="00AD7FA9">
        <w:t xml:space="preserve"> used to measure the performance of the classical and neural network models. The MSE measures the average squared difference between the estim</w:t>
      </w:r>
      <w:r>
        <w:t xml:space="preserve">ated values and actual values.  </w:t>
      </w:r>
      <w:r w:rsidRPr="00AD7FA9">
        <w:t xml:space="preserve">It is a significate metric to compare between models. </w:t>
      </w:r>
      <w:r w:rsidR="005009C1" w:rsidRPr="00AD7FA9">
        <w:t xml:space="preserve">In </w:t>
      </w:r>
      <w:r w:rsidR="00FF5E8E">
        <w:t xml:space="preserve">addition, the </w:t>
      </w:r>
      <w:r w:rsidR="00551C18" w:rsidRPr="00AD7FA9">
        <w:t>R-squared</w:t>
      </w:r>
      <w:r w:rsidR="00FF5E8E">
        <w:t xml:space="preserve"> metric was</w:t>
      </w:r>
      <w:r w:rsidR="005009C1" w:rsidRPr="00AD7FA9">
        <w:t xml:space="preserve"> used to measure the </w:t>
      </w:r>
      <w:r w:rsidR="00FF5E8E" w:rsidRPr="00AD7FA9">
        <w:t xml:space="preserve">performance </w:t>
      </w:r>
      <w:r w:rsidR="00FF5E8E">
        <w:t>between the</w:t>
      </w:r>
      <w:r w:rsidR="005009C1" w:rsidRPr="00AD7FA9">
        <w:t xml:space="preserve"> classical</w:t>
      </w:r>
      <w:r w:rsidR="00FF5E8E">
        <w:t xml:space="preserve"> </w:t>
      </w:r>
      <w:r w:rsidR="00551C18" w:rsidRPr="00AD7FA9">
        <w:t xml:space="preserve">models. </w:t>
      </w:r>
      <w:r w:rsidR="001D134D" w:rsidRPr="00AD7FA9">
        <w:t>The R-squared was selected as an important metric because it measures the strength of the relationship between the model and the dependent variable</w:t>
      </w:r>
      <w:r w:rsidR="005009C1" w:rsidRPr="00AD7FA9">
        <w:t xml:space="preserve">. </w:t>
      </w:r>
    </w:p>
    <w:p w14:paraId="2521ED0F" w14:textId="7E4ED09B" w:rsidR="0086062F" w:rsidRDefault="0086062F">
      <w:pPr>
        <w:pStyle w:val="IEEEpara"/>
      </w:pPr>
    </w:p>
    <w:p w14:paraId="0BE0448F" w14:textId="77777777" w:rsidR="00147061" w:rsidRPr="00E309CE" w:rsidRDefault="005009C1">
      <w:pPr>
        <w:pStyle w:val="ListParagraph"/>
        <w:numPr>
          <w:ilvl w:val="0"/>
          <w:numId w:val="3"/>
        </w:numPr>
        <w:spacing w:before="120" w:after="120" w:line="240" w:lineRule="exact"/>
        <w:jc w:val="both"/>
        <w:rPr>
          <w:rFonts w:ascii="Times" w:hAnsi="Times"/>
          <w:i/>
        </w:rPr>
      </w:pPr>
      <w:r w:rsidRPr="00E309CE">
        <w:rPr>
          <w:rFonts w:ascii="Times" w:hAnsi="Times"/>
          <w:i/>
        </w:rPr>
        <w:t xml:space="preserve">Classical Modeling  </w:t>
      </w:r>
    </w:p>
    <w:p w14:paraId="03FCDE04" w14:textId="5327612C" w:rsidR="00AD7FA9" w:rsidRPr="00E309CE" w:rsidRDefault="00AD7FA9">
      <w:pPr>
        <w:pStyle w:val="IEEEpara"/>
      </w:pPr>
      <w:r w:rsidRPr="00E309CE">
        <w:t>Three classical modeling variations were performed.  The first variation utilized the recursive feature elimination</w:t>
      </w:r>
      <w:r w:rsidR="00B26A8B">
        <w:t xml:space="preserve"> (RFE)</w:t>
      </w:r>
      <w:r w:rsidRPr="00E309CE">
        <w:t xml:space="preserve"> iteration method.  This method was performed to easily display the most important features based on the number of variables included in the model. Based on the results, a model with </w:t>
      </w:r>
      <w:r w:rsidR="002C1532">
        <w:t>13</w:t>
      </w:r>
      <w:r w:rsidRPr="00E309CE">
        <w:t xml:space="preserve"> features was used.  The second </w:t>
      </w:r>
      <w:r w:rsidR="00305CAE" w:rsidRPr="00E309CE">
        <w:t>modeling variation was a manual selection and removing input variabl</w:t>
      </w:r>
      <w:r w:rsidR="00381989">
        <w:t xml:space="preserve">es based on the p test values.  All the report title words with a p test value greater than 0.3 was removed from the model.  </w:t>
      </w:r>
      <w:r w:rsidR="00FF5E8E">
        <w:t>This model resulted in containing</w:t>
      </w:r>
      <w:r w:rsidR="00381989">
        <w:t xml:space="preserve"> 36 features.</w:t>
      </w:r>
      <w:r w:rsidR="00FF5E8E">
        <w:t xml:space="preserve"> </w:t>
      </w:r>
      <w:r w:rsidR="00305CAE" w:rsidRPr="00E309CE">
        <w:t xml:space="preserve">The third variation used the draft report log transformation in order to normalize the data. </w:t>
      </w:r>
      <w:r w:rsidRPr="00E309CE">
        <w:t xml:space="preserve"> </w:t>
      </w:r>
    </w:p>
    <w:p w14:paraId="09BFF494" w14:textId="6F95B1D3" w:rsidR="00305CAE" w:rsidRPr="00E309CE" w:rsidRDefault="00F01983">
      <w:pPr>
        <w:pStyle w:val="IEEEpara"/>
      </w:pPr>
      <w:r w:rsidRPr="00E309CE">
        <w:t>In all three modeling variations, the fieldwork variable contained a low p test value and was significant in predicting when the draft report will be issued to management.  The planning variable was included in two of the models.  In both models, the p test value was less than the commonly used 0.</w:t>
      </w:r>
      <w:r w:rsidR="00BF7822">
        <w:t>0</w:t>
      </w:r>
      <w:r w:rsidRPr="00E309CE">
        <w:t xml:space="preserve">5 alpha level, which indicates that it was a significate variable. The categorical variables had a range of p test values.  </w:t>
      </w:r>
      <w:r w:rsidR="00E309CE" w:rsidRPr="00E309CE">
        <w:t>For example, the report title words range</w:t>
      </w:r>
      <w:r w:rsidR="002C1532">
        <w:t>d</w:t>
      </w:r>
      <w:r w:rsidR="00E309CE" w:rsidRPr="00E309CE">
        <w:t xml:space="preserve"> from 0.02 to 0.9</w:t>
      </w:r>
      <w:r w:rsidR="00FF5E8E">
        <w:t>7</w:t>
      </w:r>
      <w:r w:rsidR="00E309CE" w:rsidRPr="00E309CE">
        <w:t>.</w:t>
      </w:r>
      <w:r w:rsidRPr="00E309CE">
        <w:t xml:space="preserve"> </w:t>
      </w:r>
    </w:p>
    <w:p w14:paraId="6666D3D7" w14:textId="1490BE17" w:rsidR="00147061" w:rsidRPr="00E309CE" w:rsidRDefault="008226F6">
      <w:pPr>
        <w:pStyle w:val="IEEEpara"/>
      </w:pPr>
      <w:r w:rsidRPr="00E309CE">
        <w:t>In order to prevent overfitting, the data was split into two sets,</w:t>
      </w:r>
      <w:r w:rsidR="002C1532">
        <w:t xml:space="preserve"> a training set and a test set</w:t>
      </w:r>
      <w:r w:rsidRPr="00E309CE">
        <w:t xml:space="preserve">.  The split resulted in </w:t>
      </w:r>
      <w:r w:rsidR="002C1532">
        <w:t>80% for training and 20% for testing</w:t>
      </w:r>
      <w:r w:rsidRPr="00E309CE">
        <w:t>.</w:t>
      </w:r>
      <w:r w:rsidR="005009C1" w:rsidRPr="00E309CE">
        <w:t xml:space="preserve"> </w:t>
      </w:r>
    </w:p>
    <w:p w14:paraId="11D9BE7E" w14:textId="77777777" w:rsidR="00147061" w:rsidRPr="005B773C" w:rsidRDefault="005009C1">
      <w:pPr>
        <w:pStyle w:val="ListParagraph"/>
        <w:numPr>
          <w:ilvl w:val="0"/>
          <w:numId w:val="3"/>
        </w:numPr>
        <w:spacing w:before="120" w:after="120" w:line="240" w:lineRule="exact"/>
        <w:jc w:val="both"/>
        <w:rPr>
          <w:rFonts w:ascii="Times" w:hAnsi="Times"/>
          <w:i/>
        </w:rPr>
      </w:pPr>
      <w:r w:rsidRPr="005B773C">
        <w:rPr>
          <w:rFonts w:ascii="Times" w:hAnsi="Times"/>
          <w:i/>
        </w:rPr>
        <w:t>Neural Network Modeling</w:t>
      </w:r>
    </w:p>
    <w:p w14:paraId="711B6C1C" w14:textId="77777777" w:rsidR="009A6336" w:rsidRDefault="00E309CE" w:rsidP="00E309CE">
      <w:pPr>
        <w:pStyle w:val="IEEEpara"/>
      </w:pPr>
      <w:r w:rsidRPr="009A6336">
        <w:t>The n</w:t>
      </w:r>
      <w:r w:rsidR="00503154" w:rsidRPr="009A6336">
        <w:t>eural network modeling included the Adam optimization alg</w:t>
      </w:r>
      <w:r w:rsidR="005B773C" w:rsidRPr="009A6336">
        <w:t>orithm,</w:t>
      </w:r>
      <w:r w:rsidR="00503154" w:rsidRPr="009A6336">
        <w:t xml:space="preserve"> MSE loss function</w:t>
      </w:r>
      <w:r w:rsidR="005B773C" w:rsidRPr="009A6336">
        <w:t xml:space="preserve">, and the </w:t>
      </w:r>
      <w:r w:rsidR="0058255F" w:rsidRPr="009A6336">
        <w:t>early stopping</w:t>
      </w:r>
      <w:r w:rsidR="005B773C" w:rsidRPr="009A6336">
        <w:t xml:space="preserve"> regularization technique</w:t>
      </w:r>
      <w:r w:rsidR="00503154" w:rsidRPr="009A6336">
        <w:t xml:space="preserve">.  The Adam optimization algorithm was selected due to </w:t>
      </w:r>
      <w:r w:rsidR="00A01F08" w:rsidRPr="009A6336">
        <w:t>the data set containing 50 input variables and requiring multiple of hidden layers</w:t>
      </w:r>
      <w:r w:rsidR="00503154" w:rsidRPr="009A6336">
        <w:t>. The MSE loss function was included because this project was a regression problem.</w:t>
      </w:r>
      <w:r w:rsidR="00A01F08" w:rsidRPr="009A6336">
        <w:t xml:space="preserve"> Further, the early stopping regularization technique was selected in order to prevent overfi</w:t>
      </w:r>
      <w:r w:rsidR="009A6336" w:rsidRPr="009A6336">
        <w:t xml:space="preserve">tting.  </w:t>
      </w:r>
    </w:p>
    <w:p w14:paraId="7CF16BE3" w14:textId="36DE1B5E" w:rsidR="00E309CE" w:rsidRPr="00F542C2" w:rsidRDefault="009A6336" w:rsidP="00E309CE">
      <w:pPr>
        <w:pStyle w:val="IEEEpara"/>
      </w:pPr>
      <w:r w:rsidRPr="009A6336">
        <w:t>Another way to prevent overfitting was to split the data into a training set and a test set. Then, the training set was split for validation.  The splits resulted in 80% being training</w:t>
      </w:r>
      <w:r>
        <w:t>,</w:t>
      </w:r>
      <w:r w:rsidRPr="009A6336">
        <w:t xml:space="preserve"> 20% being testing</w:t>
      </w:r>
      <w:r>
        <w:t>,</w:t>
      </w:r>
      <w:r w:rsidRPr="009A6336">
        <w:t xml:space="preserve"> and then 20% of the training set was used for validation.  The </w:t>
      </w:r>
      <w:r w:rsidR="00743D48" w:rsidRPr="009A6336">
        <w:t>dataset c</w:t>
      </w:r>
      <w:r w:rsidRPr="009A6336">
        <w:t>ontained 1,405 data points and 50</w:t>
      </w:r>
      <w:r w:rsidR="00743D48" w:rsidRPr="009A6336">
        <w:t xml:space="preserve"> input variables.  There</w:t>
      </w:r>
      <w:r w:rsidR="00743D48" w:rsidRPr="00F542C2">
        <w:t xml:space="preserve">fore, </w:t>
      </w:r>
      <w:r>
        <w:t>both the earlier stopping and splitting the dataset helped</w:t>
      </w:r>
      <w:r w:rsidR="00E309CE" w:rsidRPr="00F542C2">
        <w:t xml:space="preserve"> to prevent overfitting</w:t>
      </w:r>
      <w:r w:rsidR="00743D48" w:rsidRPr="00F542C2">
        <w:t>.</w:t>
      </w:r>
    </w:p>
    <w:p w14:paraId="7F8084C1" w14:textId="62645248" w:rsidR="00503154" w:rsidRPr="005B773C" w:rsidRDefault="00415EED">
      <w:pPr>
        <w:pStyle w:val="IEEEpara"/>
      </w:pPr>
      <w:r w:rsidRPr="004A3833">
        <w:t>The neural network</w:t>
      </w:r>
      <w:r w:rsidR="004A3833" w:rsidRPr="004A3833">
        <w:t xml:space="preserve"> modeling</w:t>
      </w:r>
      <w:r w:rsidRPr="004A3833">
        <w:t xml:space="preserve"> included three variations. The first variation was </w:t>
      </w:r>
      <w:r w:rsidR="00E50A99" w:rsidRPr="004A3833">
        <w:t xml:space="preserve">a </w:t>
      </w:r>
      <w:r w:rsidR="00D278E3">
        <w:t xml:space="preserve">preliminary </w:t>
      </w:r>
      <w:r w:rsidR="00E50A99" w:rsidRPr="004A3833">
        <w:t>model to use as a baseline without any hyperparameter</w:t>
      </w:r>
      <w:r w:rsidR="001D73B1">
        <w:t xml:space="preserve"> (HP)</w:t>
      </w:r>
      <w:r w:rsidR="00E50A99" w:rsidRPr="004A3833">
        <w:t xml:space="preserve"> testing.  The second model </w:t>
      </w:r>
      <w:r w:rsidR="004A3833" w:rsidRPr="004A3833">
        <w:t xml:space="preserve">was created based on </w:t>
      </w:r>
      <w:r w:rsidR="00E50A99" w:rsidRPr="004A3833">
        <w:t>the results f</w:t>
      </w:r>
      <w:r w:rsidR="004A3833" w:rsidRPr="004A3833">
        <w:t>rom a multi</w:t>
      </w:r>
      <w:r w:rsidR="001D73B1">
        <w:t>ple HP</w:t>
      </w:r>
      <w:r w:rsidR="004A3833" w:rsidRPr="004A3833">
        <w:t xml:space="preserve"> </w:t>
      </w:r>
      <w:r w:rsidR="007F39A7" w:rsidRPr="004A3833">
        <w:t>sweep</w:t>
      </w:r>
      <w:r w:rsidR="004A3833" w:rsidRPr="004A3833">
        <w:t xml:space="preserve">.  The sweep tested different combinations of </w:t>
      </w:r>
      <w:r w:rsidR="007F39A7" w:rsidRPr="004A3833">
        <w:t>the neurons per layer</w:t>
      </w:r>
      <w:r w:rsidR="00AC68AD">
        <w:t xml:space="preserve"> from 1-32</w:t>
      </w:r>
      <w:r w:rsidR="007F39A7" w:rsidRPr="004A3833">
        <w:t xml:space="preserve">, </w:t>
      </w:r>
      <w:r w:rsidR="004A3833" w:rsidRPr="004A3833">
        <w:t xml:space="preserve">the </w:t>
      </w:r>
      <w:r w:rsidR="007F39A7" w:rsidRPr="004A3833">
        <w:t xml:space="preserve">number of </w:t>
      </w:r>
      <w:r w:rsidR="005733D3">
        <w:t xml:space="preserve">hidden </w:t>
      </w:r>
      <w:r w:rsidR="007F39A7" w:rsidRPr="004A3833">
        <w:t>layers</w:t>
      </w:r>
      <w:r w:rsidR="00AC68AD">
        <w:t xml:space="preserve"> from 1-4</w:t>
      </w:r>
      <w:r w:rsidR="007F39A7" w:rsidRPr="004A3833">
        <w:t xml:space="preserve">, </w:t>
      </w:r>
      <w:r w:rsidR="004A3833" w:rsidRPr="004A3833">
        <w:t xml:space="preserve">the </w:t>
      </w:r>
      <w:r w:rsidR="009F35D0" w:rsidRPr="004A3833">
        <w:t>learning rate</w:t>
      </w:r>
      <w:r w:rsidR="00AC68AD">
        <w:t xml:space="preserve"> from 0.0001-0.1</w:t>
      </w:r>
      <w:r w:rsidR="009F35D0" w:rsidRPr="004A3833">
        <w:t>, and</w:t>
      </w:r>
      <w:r w:rsidR="004A3833" w:rsidRPr="004A3833">
        <w:t xml:space="preserve"> the</w:t>
      </w:r>
      <w:r w:rsidR="009F35D0" w:rsidRPr="004A3833">
        <w:t xml:space="preserve"> </w:t>
      </w:r>
      <w:r w:rsidR="00F542C2" w:rsidRPr="004A3833">
        <w:t>number of epochs</w:t>
      </w:r>
      <w:r w:rsidR="00AC68AD">
        <w:t xml:space="preserve"> from 10-200</w:t>
      </w:r>
      <w:r w:rsidR="009F35D0" w:rsidRPr="004A3833">
        <w:t xml:space="preserve">.  </w:t>
      </w:r>
      <w:r w:rsidR="004A3833" w:rsidRPr="004A3833">
        <w:t>The third model was</w:t>
      </w:r>
      <w:r w:rsidR="001D73B1">
        <w:t xml:space="preserve"> a result of the multiple HP</w:t>
      </w:r>
      <w:r w:rsidR="004A3833" w:rsidRPr="004A3833">
        <w:t xml:space="preserve"> sweep with the early stopping </w:t>
      </w:r>
      <w:r w:rsidR="005B773C" w:rsidRPr="004A3833">
        <w:t>regularization technique</w:t>
      </w:r>
      <w:r w:rsidR="004A3833" w:rsidRPr="004A3833">
        <w:t xml:space="preserve"> included</w:t>
      </w:r>
      <w:r w:rsidR="005B773C" w:rsidRPr="004A3833">
        <w:t>.</w:t>
      </w:r>
      <w:r w:rsidR="00544F80">
        <w:t xml:space="preserve"> </w:t>
      </w:r>
    </w:p>
    <w:p w14:paraId="7E3BEB92" w14:textId="77777777" w:rsidR="00147061" w:rsidRDefault="00147061">
      <w:pPr>
        <w:pStyle w:val="IEEEpara"/>
      </w:pPr>
    </w:p>
    <w:p w14:paraId="5214434F" w14:textId="60125AE5" w:rsidR="00147061" w:rsidRDefault="00147061">
      <w:pPr>
        <w:rPr>
          <w:rFonts w:ascii="Times" w:hAnsi="Times"/>
          <w:smallCaps/>
        </w:rPr>
      </w:pPr>
    </w:p>
    <w:p w14:paraId="6E670391" w14:textId="77777777" w:rsidR="00147061" w:rsidRDefault="005009C1">
      <w:pPr>
        <w:pStyle w:val="Heading3"/>
        <w:spacing w:before="360" w:after="120" w:line="240" w:lineRule="exact"/>
        <w:rPr>
          <w:rFonts w:ascii="Times" w:hAnsi="Times"/>
          <w:b w:val="0"/>
          <w:smallCaps/>
          <w:sz w:val="20"/>
        </w:rPr>
      </w:pPr>
      <w:r>
        <w:rPr>
          <w:rFonts w:ascii="Times" w:hAnsi="Times"/>
          <w:b w:val="0"/>
          <w:smallCaps/>
          <w:sz w:val="20"/>
        </w:rPr>
        <w:lastRenderedPageBreak/>
        <w:t>III. Analysis &amp; Results</w:t>
      </w:r>
    </w:p>
    <w:p w14:paraId="0100B1AA" w14:textId="5D62CE22" w:rsidR="00147061" w:rsidRPr="001337F0" w:rsidRDefault="002C2A3F">
      <w:pPr>
        <w:pStyle w:val="IEEEpara"/>
      </w:pPr>
      <w:r w:rsidRPr="001337F0">
        <w:t xml:space="preserve">The results from the classical models and the neural networking models were similar. </w:t>
      </w:r>
      <w:r w:rsidR="000B546C">
        <w:t xml:space="preserve"> </w:t>
      </w:r>
      <w:r w:rsidRPr="001337F0">
        <w:t>Both approaches resulted in a</w:t>
      </w:r>
      <w:r w:rsidR="001337F0" w:rsidRPr="001337F0">
        <w:t>n</w:t>
      </w:r>
      <w:r w:rsidRPr="001337F0">
        <w:t xml:space="preserve"> </w:t>
      </w:r>
      <w:r w:rsidR="001337F0" w:rsidRPr="001337F0">
        <w:t xml:space="preserve">average </w:t>
      </w:r>
      <w:r w:rsidRPr="001337F0">
        <w:t xml:space="preserve">MSE value </w:t>
      </w:r>
      <w:r w:rsidR="001337F0" w:rsidRPr="001337F0">
        <w:t>of about 2500.</w:t>
      </w:r>
      <w:r w:rsidR="003A46FB" w:rsidRPr="001337F0">
        <w:t xml:space="preserve"> </w:t>
      </w:r>
    </w:p>
    <w:p w14:paraId="12AC6E19" w14:textId="77777777" w:rsidR="00147061" w:rsidRPr="00BB602C" w:rsidRDefault="005009C1">
      <w:pPr>
        <w:pStyle w:val="ListParagraph"/>
        <w:numPr>
          <w:ilvl w:val="0"/>
          <w:numId w:val="4"/>
        </w:numPr>
        <w:spacing w:before="120" w:after="120" w:line="240" w:lineRule="exact"/>
        <w:jc w:val="both"/>
        <w:rPr>
          <w:rFonts w:ascii="Times" w:hAnsi="Times"/>
          <w:i/>
        </w:rPr>
      </w:pPr>
      <w:r w:rsidRPr="00BB602C">
        <w:rPr>
          <w:rFonts w:ascii="Times" w:hAnsi="Times"/>
          <w:i/>
        </w:rPr>
        <w:t xml:space="preserve">Classical Modeling  </w:t>
      </w:r>
    </w:p>
    <w:p w14:paraId="57821468" w14:textId="522A1AF4" w:rsidR="003A46FB" w:rsidRPr="00BB602C" w:rsidRDefault="003A46FB" w:rsidP="003A46FB">
      <w:pPr>
        <w:pStyle w:val="IEEEpara"/>
      </w:pPr>
      <w:r w:rsidRPr="00BB602C">
        <w:t xml:space="preserve">All three classical modeling variations resulted in </w:t>
      </w:r>
      <w:r w:rsidR="00FF46E6" w:rsidRPr="00BB602C">
        <w:t>an</w:t>
      </w:r>
      <w:r w:rsidRPr="00BB602C">
        <w:t xml:space="preserve"> R-squared value</w:t>
      </w:r>
      <w:r w:rsidR="00080B48" w:rsidRPr="00BB602C">
        <w:t xml:space="preserve"> less than</w:t>
      </w:r>
      <w:r w:rsidR="00FF46E6" w:rsidRPr="00BB602C">
        <w:t xml:space="preserve"> 0.5 or 50%, meaning the relationship between the model and the dependent variable is weak</w:t>
      </w:r>
      <w:r w:rsidRPr="00BB602C">
        <w:t>.</w:t>
      </w:r>
      <w:r w:rsidR="00FF46E6" w:rsidRPr="00BB602C">
        <w:t xml:space="preserve">  In addition, the MSE for each model is high, meaning the difference between the estimated values and actual values is significant</w:t>
      </w:r>
      <w:r w:rsidR="0014074A" w:rsidRPr="00BB602C">
        <w:t xml:space="preserve"> (Table 3).  </w:t>
      </w:r>
    </w:p>
    <w:p w14:paraId="5059E8FE" w14:textId="77777777" w:rsidR="0014074A" w:rsidRDefault="0014074A">
      <w:pPr>
        <w:pStyle w:val="IEEEcaption"/>
        <w:rPr>
          <w:color w:val="auto"/>
        </w:rPr>
      </w:pPr>
    </w:p>
    <w:p w14:paraId="16F2A92A" w14:textId="27710D89" w:rsidR="00147061" w:rsidRPr="006A1D9A" w:rsidRDefault="006A1D9A">
      <w:pPr>
        <w:pStyle w:val="IEEEcaption"/>
        <w:rPr>
          <w:color w:val="auto"/>
        </w:rPr>
      </w:pPr>
      <w:r w:rsidRPr="006A1D9A">
        <w:rPr>
          <w:color w:val="auto"/>
        </w:rPr>
        <w:t>Table 3</w:t>
      </w:r>
      <w:r w:rsidR="005B773C" w:rsidRPr="006A1D9A">
        <w:rPr>
          <w:color w:val="auto"/>
        </w:rPr>
        <w:t xml:space="preserve">. </w:t>
      </w:r>
      <w:r w:rsidR="00AC68AD">
        <w:rPr>
          <w:color w:val="auto"/>
        </w:rPr>
        <w:t xml:space="preserve">Linear </w:t>
      </w:r>
      <w:r w:rsidR="0014074A">
        <w:rPr>
          <w:color w:val="auto"/>
        </w:rPr>
        <w:t>Regression Model Results</w:t>
      </w:r>
      <w:r w:rsidR="005009C1" w:rsidRPr="006A1D9A">
        <w:rPr>
          <w:color w:val="auto"/>
        </w:rPr>
        <w:t xml:space="preserve"> </w:t>
      </w:r>
    </w:p>
    <w:tbl>
      <w:tblPr>
        <w:tblW w:w="3978" w:type="dxa"/>
        <w:tblInd w:w="108" w:type="dxa"/>
        <w:tblLook w:val="04A0" w:firstRow="1" w:lastRow="0" w:firstColumn="1" w:lastColumn="0" w:noHBand="0" w:noVBand="1"/>
      </w:tblPr>
      <w:tblGrid>
        <w:gridCol w:w="1548"/>
        <w:gridCol w:w="1530"/>
        <w:gridCol w:w="900"/>
      </w:tblGrid>
      <w:tr w:rsidR="006A1D9A" w:rsidRPr="006A1D9A" w14:paraId="71BD92EE" w14:textId="7D4BA4AC" w:rsidTr="005927CE">
        <w:trPr>
          <w:trHeight w:val="349"/>
        </w:trPr>
        <w:tc>
          <w:tcPr>
            <w:tcW w:w="1548" w:type="dxa"/>
            <w:tcBorders>
              <w:top w:val="single" w:sz="12" w:space="0" w:color="000000"/>
              <w:bottom w:val="single" w:sz="12" w:space="0" w:color="000000"/>
            </w:tcBorders>
            <w:shd w:val="clear" w:color="auto" w:fill="auto"/>
            <w:vAlign w:val="center"/>
          </w:tcPr>
          <w:p w14:paraId="76505EDC" w14:textId="77777777" w:rsidR="006A1D9A" w:rsidRPr="006A1D9A" w:rsidRDefault="006A1D9A" w:rsidP="00C1283B">
            <w:pPr>
              <w:ind w:left="-23"/>
              <w:rPr>
                <w:rFonts w:eastAsia="Times New Roman"/>
                <w:sz w:val="16"/>
                <w:szCs w:val="18"/>
              </w:rPr>
            </w:pPr>
            <w:r w:rsidRPr="006A1D9A">
              <w:rPr>
                <w:rFonts w:eastAsia="Times New Roman"/>
                <w:sz w:val="16"/>
                <w:szCs w:val="18"/>
              </w:rPr>
              <w:t>Model</w:t>
            </w:r>
          </w:p>
        </w:tc>
        <w:tc>
          <w:tcPr>
            <w:tcW w:w="1530" w:type="dxa"/>
            <w:tcBorders>
              <w:top w:val="single" w:sz="12" w:space="0" w:color="000000"/>
              <w:bottom w:val="single" w:sz="12" w:space="0" w:color="000000"/>
            </w:tcBorders>
            <w:shd w:val="clear" w:color="auto" w:fill="auto"/>
            <w:vAlign w:val="center"/>
          </w:tcPr>
          <w:p w14:paraId="04541D61" w14:textId="71F0998A" w:rsidR="006A1D9A" w:rsidRPr="006A1D9A" w:rsidRDefault="006A1D9A" w:rsidP="003F3672">
            <w:pPr>
              <w:ind w:left="22"/>
              <w:jc w:val="center"/>
              <w:rPr>
                <w:rFonts w:eastAsia="Times New Roman"/>
                <w:sz w:val="16"/>
                <w:szCs w:val="18"/>
              </w:rPr>
            </w:pPr>
            <w:r w:rsidRPr="006A1D9A">
              <w:rPr>
                <w:rFonts w:eastAsia="Times New Roman"/>
                <w:sz w:val="16"/>
                <w:szCs w:val="18"/>
              </w:rPr>
              <w:t>R-squared</w:t>
            </w:r>
          </w:p>
        </w:tc>
        <w:tc>
          <w:tcPr>
            <w:tcW w:w="900" w:type="dxa"/>
            <w:tcBorders>
              <w:top w:val="single" w:sz="12" w:space="0" w:color="000000"/>
              <w:bottom w:val="single" w:sz="12" w:space="0" w:color="000000"/>
            </w:tcBorders>
            <w:vAlign w:val="center"/>
          </w:tcPr>
          <w:p w14:paraId="59F94FF8" w14:textId="25E03607" w:rsidR="006A1D9A" w:rsidRPr="006A1D9A" w:rsidRDefault="006A1D9A" w:rsidP="003F3672">
            <w:pPr>
              <w:ind w:left="-22"/>
              <w:jc w:val="center"/>
              <w:rPr>
                <w:rFonts w:eastAsia="Times New Roman"/>
                <w:sz w:val="16"/>
                <w:szCs w:val="18"/>
              </w:rPr>
            </w:pPr>
            <w:r w:rsidRPr="006A1D9A">
              <w:rPr>
                <w:rFonts w:eastAsia="Times New Roman"/>
                <w:sz w:val="16"/>
                <w:szCs w:val="18"/>
              </w:rPr>
              <w:t>MSE</w:t>
            </w:r>
          </w:p>
        </w:tc>
      </w:tr>
      <w:tr w:rsidR="006A1D9A" w:rsidRPr="006A1D9A" w14:paraId="46BB995C" w14:textId="77777777" w:rsidTr="005927CE">
        <w:trPr>
          <w:trHeight w:val="330"/>
        </w:trPr>
        <w:tc>
          <w:tcPr>
            <w:tcW w:w="1548" w:type="dxa"/>
            <w:shd w:val="clear" w:color="auto" w:fill="auto"/>
            <w:vAlign w:val="center"/>
          </w:tcPr>
          <w:p w14:paraId="10BABABC" w14:textId="77777777" w:rsidR="006A1D9A" w:rsidRPr="006A1D9A" w:rsidRDefault="006A1D9A" w:rsidP="006A1D9A">
            <w:pPr>
              <w:ind w:left="-22"/>
              <w:rPr>
                <w:rFonts w:eastAsia="Times New Roman"/>
                <w:sz w:val="16"/>
                <w:szCs w:val="18"/>
              </w:rPr>
            </w:pPr>
            <w:r w:rsidRPr="006A1D9A">
              <w:rPr>
                <w:rFonts w:eastAsia="Times New Roman"/>
                <w:sz w:val="16"/>
                <w:szCs w:val="18"/>
              </w:rPr>
              <w:t>Full</w:t>
            </w:r>
          </w:p>
        </w:tc>
        <w:tc>
          <w:tcPr>
            <w:tcW w:w="1530" w:type="dxa"/>
            <w:vAlign w:val="center"/>
          </w:tcPr>
          <w:p w14:paraId="128B8AB3" w14:textId="558A566B" w:rsidR="006A1D9A" w:rsidRPr="006A1D9A" w:rsidRDefault="006A1D9A" w:rsidP="003F3672">
            <w:pPr>
              <w:ind w:left="-24"/>
              <w:jc w:val="center"/>
              <w:rPr>
                <w:rFonts w:eastAsia="Times New Roman"/>
                <w:sz w:val="16"/>
                <w:szCs w:val="18"/>
              </w:rPr>
            </w:pPr>
            <w:r w:rsidRPr="006A1D9A">
              <w:rPr>
                <w:rFonts w:eastAsia="Times New Roman"/>
                <w:sz w:val="16"/>
                <w:szCs w:val="18"/>
              </w:rPr>
              <w:t>0.4</w:t>
            </w:r>
            <w:r w:rsidR="00381989">
              <w:rPr>
                <w:rFonts w:eastAsia="Times New Roman"/>
                <w:sz w:val="16"/>
                <w:szCs w:val="18"/>
              </w:rPr>
              <w:t>4</w:t>
            </w:r>
          </w:p>
        </w:tc>
        <w:tc>
          <w:tcPr>
            <w:tcW w:w="900" w:type="dxa"/>
            <w:shd w:val="clear" w:color="auto" w:fill="auto"/>
            <w:vAlign w:val="center"/>
          </w:tcPr>
          <w:p w14:paraId="669A84F4" w14:textId="00D00466" w:rsidR="006A1D9A" w:rsidRPr="006A1D9A" w:rsidRDefault="00381989" w:rsidP="003F3672">
            <w:pPr>
              <w:ind w:left="-24"/>
              <w:jc w:val="center"/>
              <w:rPr>
                <w:rFonts w:eastAsia="Times New Roman"/>
                <w:sz w:val="16"/>
                <w:szCs w:val="18"/>
              </w:rPr>
            </w:pPr>
            <w:r>
              <w:rPr>
                <w:rFonts w:eastAsia="Times New Roman"/>
                <w:sz w:val="16"/>
                <w:szCs w:val="18"/>
              </w:rPr>
              <w:t>2601</w:t>
            </w:r>
          </w:p>
        </w:tc>
      </w:tr>
      <w:tr w:rsidR="006A1D9A" w:rsidRPr="006A1D9A" w14:paraId="7E4993A0" w14:textId="77777777" w:rsidTr="005927CE">
        <w:trPr>
          <w:trHeight w:val="311"/>
        </w:trPr>
        <w:tc>
          <w:tcPr>
            <w:tcW w:w="1548" w:type="dxa"/>
            <w:shd w:val="clear" w:color="auto" w:fill="auto"/>
            <w:vAlign w:val="center"/>
          </w:tcPr>
          <w:p w14:paraId="6BEFE110" w14:textId="04237CA2" w:rsidR="006A1D9A" w:rsidRPr="006A1D9A" w:rsidRDefault="006A1D9A" w:rsidP="006A1D9A">
            <w:pPr>
              <w:ind w:left="-22"/>
              <w:rPr>
                <w:rFonts w:eastAsia="Times New Roman"/>
                <w:sz w:val="16"/>
                <w:szCs w:val="18"/>
              </w:rPr>
            </w:pPr>
            <w:r w:rsidRPr="006A1D9A">
              <w:rPr>
                <w:rFonts w:eastAsia="Times New Roman"/>
                <w:sz w:val="16"/>
                <w:szCs w:val="18"/>
              </w:rPr>
              <w:t>RFE</w:t>
            </w:r>
          </w:p>
        </w:tc>
        <w:tc>
          <w:tcPr>
            <w:tcW w:w="1530" w:type="dxa"/>
            <w:vAlign w:val="center"/>
          </w:tcPr>
          <w:p w14:paraId="628BDA9E" w14:textId="2E5C52A8" w:rsidR="006A1D9A" w:rsidRPr="006A1D9A" w:rsidRDefault="00381989" w:rsidP="003F3672">
            <w:pPr>
              <w:ind w:left="-24"/>
              <w:jc w:val="center"/>
              <w:rPr>
                <w:rFonts w:eastAsia="Times New Roman"/>
                <w:sz w:val="16"/>
                <w:szCs w:val="18"/>
              </w:rPr>
            </w:pPr>
            <w:r>
              <w:rPr>
                <w:rFonts w:eastAsia="Times New Roman"/>
                <w:sz w:val="16"/>
                <w:szCs w:val="18"/>
              </w:rPr>
              <w:t>0.36</w:t>
            </w:r>
          </w:p>
        </w:tc>
        <w:tc>
          <w:tcPr>
            <w:tcW w:w="900" w:type="dxa"/>
            <w:shd w:val="clear" w:color="auto" w:fill="auto"/>
            <w:vAlign w:val="center"/>
          </w:tcPr>
          <w:p w14:paraId="6C9A03EB" w14:textId="4F247912" w:rsidR="006A1D9A" w:rsidRPr="006A1D9A" w:rsidRDefault="00381989" w:rsidP="003F3672">
            <w:pPr>
              <w:ind w:left="-24"/>
              <w:jc w:val="center"/>
              <w:rPr>
                <w:rFonts w:eastAsia="Times New Roman"/>
                <w:sz w:val="16"/>
                <w:szCs w:val="18"/>
              </w:rPr>
            </w:pPr>
            <w:r>
              <w:rPr>
                <w:rFonts w:eastAsia="Times New Roman"/>
                <w:sz w:val="16"/>
                <w:szCs w:val="18"/>
              </w:rPr>
              <w:t>2606</w:t>
            </w:r>
          </w:p>
        </w:tc>
      </w:tr>
      <w:tr w:rsidR="006A1D9A" w:rsidRPr="006A1D9A" w14:paraId="7A5B5DC3" w14:textId="77777777" w:rsidTr="005927CE">
        <w:trPr>
          <w:trHeight w:val="311"/>
        </w:trPr>
        <w:tc>
          <w:tcPr>
            <w:tcW w:w="1548" w:type="dxa"/>
            <w:shd w:val="clear" w:color="auto" w:fill="auto"/>
            <w:vAlign w:val="center"/>
          </w:tcPr>
          <w:p w14:paraId="25F72C20" w14:textId="77777777" w:rsidR="006A1D9A" w:rsidRPr="006A1D9A" w:rsidRDefault="006A1D9A" w:rsidP="006A1D9A">
            <w:pPr>
              <w:ind w:left="-22"/>
              <w:rPr>
                <w:rFonts w:eastAsia="Times New Roman"/>
                <w:sz w:val="16"/>
                <w:szCs w:val="18"/>
              </w:rPr>
            </w:pPr>
            <w:r w:rsidRPr="006A1D9A">
              <w:rPr>
                <w:rFonts w:eastAsia="Times New Roman"/>
                <w:sz w:val="16"/>
                <w:szCs w:val="18"/>
              </w:rPr>
              <w:t>P-value Selection</w:t>
            </w:r>
          </w:p>
        </w:tc>
        <w:tc>
          <w:tcPr>
            <w:tcW w:w="1530" w:type="dxa"/>
            <w:vAlign w:val="center"/>
          </w:tcPr>
          <w:p w14:paraId="2BB48D59" w14:textId="24DB6DBE" w:rsidR="006A1D9A" w:rsidRPr="006A1D9A" w:rsidRDefault="003F3672" w:rsidP="003F3672">
            <w:pPr>
              <w:ind w:left="-24"/>
              <w:jc w:val="center"/>
              <w:rPr>
                <w:rFonts w:eastAsia="Times New Roman"/>
                <w:sz w:val="16"/>
                <w:szCs w:val="18"/>
              </w:rPr>
            </w:pPr>
            <w:r>
              <w:rPr>
                <w:rFonts w:eastAsia="Times New Roman"/>
                <w:sz w:val="16"/>
                <w:szCs w:val="18"/>
              </w:rPr>
              <w:t>0.44</w:t>
            </w:r>
          </w:p>
        </w:tc>
        <w:tc>
          <w:tcPr>
            <w:tcW w:w="900" w:type="dxa"/>
            <w:shd w:val="clear" w:color="auto" w:fill="auto"/>
            <w:vAlign w:val="center"/>
          </w:tcPr>
          <w:p w14:paraId="166488F7" w14:textId="31532159" w:rsidR="006A1D9A" w:rsidRPr="006A1D9A" w:rsidRDefault="003F3672" w:rsidP="003F3672">
            <w:pPr>
              <w:ind w:left="-24"/>
              <w:jc w:val="center"/>
              <w:rPr>
                <w:rFonts w:eastAsia="Times New Roman"/>
                <w:sz w:val="16"/>
                <w:szCs w:val="18"/>
              </w:rPr>
            </w:pPr>
            <w:r>
              <w:rPr>
                <w:rFonts w:eastAsia="Times New Roman"/>
                <w:sz w:val="16"/>
                <w:szCs w:val="18"/>
              </w:rPr>
              <w:t>2583</w:t>
            </w:r>
          </w:p>
        </w:tc>
      </w:tr>
      <w:tr w:rsidR="006A1D9A" w:rsidRPr="006A1D9A" w14:paraId="3D64C136" w14:textId="77777777" w:rsidTr="005927CE">
        <w:trPr>
          <w:trHeight w:val="330"/>
        </w:trPr>
        <w:tc>
          <w:tcPr>
            <w:tcW w:w="1548" w:type="dxa"/>
            <w:tcBorders>
              <w:bottom w:val="single" w:sz="12" w:space="0" w:color="000000"/>
            </w:tcBorders>
            <w:shd w:val="clear" w:color="auto" w:fill="auto"/>
            <w:vAlign w:val="center"/>
          </w:tcPr>
          <w:p w14:paraId="386D3988" w14:textId="46F070BE" w:rsidR="006A1D9A" w:rsidRPr="006A1D9A" w:rsidRDefault="006A1D9A" w:rsidP="006A1D9A">
            <w:pPr>
              <w:ind w:left="-22"/>
              <w:rPr>
                <w:rFonts w:eastAsia="Times New Roman"/>
                <w:sz w:val="16"/>
                <w:szCs w:val="18"/>
              </w:rPr>
            </w:pPr>
            <w:r w:rsidRPr="006A1D9A">
              <w:rPr>
                <w:rFonts w:eastAsia="Times New Roman"/>
                <w:sz w:val="16"/>
                <w:szCs w:val="18"/>
              </w:rPr>
              <w:t>Log Transformation</w:t>
            </w:r>
          </w:p>
        </w:tc>
        <w:tc>
          <w:tcPr>
            <w:tcW w:w="1530" w:type="dxa"/>
            <w:tcBorders>
              <w:bottom w:val="single" w:sz="12" w:space="0" w:color="000000"/>
            </w:tcBorders>
            <w:vAlign w:val="center"/>
          </w:tcPr>
          <w:p w14:paraId="23ACF006" w14:textId="4560743F" w:rsidR="006A1D9A" w:rsidRPr="006A1D9A" w:rsidRDefault="006A1D9A" w:rsidP="003F3672">
            <w:pPr>
              <w:ind w:left="-24"/>
              <w:jc w:val="center"/>
              <w:rPr>
                <w:rFonts w:eastAsia="Times New Roman"/>
                <w:sz w:val="16"/>
                <w:szCs w:val="18"/>
              </w:rPr>
            </w:pPr>
            <w:r w:rsidRPr="006A1D9A">
              <w:rPr>
                <w:rFonts w:eastAsia="Times New Roman"/>
                <w:sz w:val="16"/>
                <w:szCs w:val="18"/>
              </w:rPr>
              <w:t>0.</w:t>
            </w:r>
            <w:r w:rsidR="003F3672">
              <w:rPr>
                <w:rFonts w:eastAsia="Times New Roman"/>
                <w:sz w:val="16"/>
                <w:szCs w:val="18"/>
              </w:rPr>
              <w:t>48</w:t>
            </w:r>
          </w:p>
        </w:tc>
        <w:tc>
          <w:tcPr>
            <w:tcW w:w="900" w:type="dxa"/>
            <w:tcBorders>
              <w:bottom w:val="single" w:sz="12" w:space="0" w:color="000000"/>
            </w:tcBorders>
            <w:shd w:val="clear" w:color="auto" w:fill="auto"/>
            <w:vAlign w:val="center"/>
          </w:tcPr>
          <w:p w14:paraId="5144D9EA" w14:textId="01DBA682" w:rsidR="006A1D9A" w:rsidRPr="006A1D9A" w:rsidRDefault="003F3672" w:rsidP="003F3672">
            <w:pPr>
              <w:ind w:left="-24"/>
              <w:jc w:val="center"/>
              <w:rPr>
                <w:rFonts w:eastAsia="Times New Roman"/>
                <w:sz w:val="16"/>
                <w:szCs w:val="18"/>
              </w:rPr>
            </w:pPr>
            <w:r>
              <w:rPr>
                <w:rFonts w:eastAsia="Times New Roman"/>
                <w:sz w:val="16"/>
                <w:szCs w:val="18"/>
              </w:rPr>
              <w:t>2731</w:t>
            </w:r>
          </w:p>
        </w:tc>
      </w:tr>
    </w:tbl>
    <w:p w14:paraId="1B4AC747" w14:textId="58EEE460" w:rsidR="0014074A" w:rsidRDefault="005009C1">
      <w:pPr>
        <w:jc w:val="both"/>
        <w:rPr>
          <w:rFonts w:ascii="Times" w:eastAsia="Times New Roman" w:hAnsi="Times"/>
          <w:color w:val="0070C0"/>
          <w:shd w:val="clear" w:color="auto" w:fill="FFFFFF"/>
        </w:rPr>
      </w:pPr>
      <w:r>
        <w:rPr>
          <w:rFonts w:ascii="Times" w:eastAsia="Times New Roman" w:hAnsi="Times"/>
          <w:color w:val="0070C0"/>
          <w:shd w:val="clear" w:color="auto" w:fill="FFFFFF"/>
        </w:rPr>
        <w:t xml:space="preserve">   </w:t>
      </w:r>
    </w:p>
    <w:p w14:paraId="025C828A" w14:textId="4A967F18" w:rsidR="007A3CC5" w:rsidRDefault="005927CE" w:rsidP="007A3CC5">
      <w:pPr>
        <w:pStyle w:val="IEEEpara"/>
      </w:pPr>
      <w:r>
        <w:t>As shown in Table 3, each model resulted in a high MSE, which is apparent in the residual analysis graphs (see Fig. 6).  E</w:t>
      </w:r>
      <w:r w:rsidR="00C1283B">
        <w:t xml:space="preserve">ach </w:t>
      </w:r>
      <w:r w:rsidR="00DE7D52">
        <w:t xml:space="preserve">model had </w:t>
      </w:r>
      <w:r w:rsidR="00C1283B">
        <w:t>difficulty predicting when the draft report would be issued to management.</w:t>
      </w:r>
      <w:r w:rsidR="00DE7D52">
        <w:t xml:space="preserve">  </w:t>
      </w:r>
    </w:p>
    <w:p w14:paraId="0A969077" w14:textId="77777777" w:rsidR="007A3CC5" w:rsidRDefault="007A3CC5" w:rsidP="007A3CC5">
      <w:pPr>
        <w:pStyle w:val="IEEEpara"/>
      </w:pPr>
    </w:p>
    <w:p w14:paraId="351004C5" w14:textId="488D919B" w:rsidR="00BE6099" w:rsidRDefault="007A3CC5" w:rsidP="00F542C2">
      <w:pPr>
        <w:pStyle w:val="IEEEpara"/>
        <w:ind w:firstLine="0"/>
      </w:pPr>
      <w:r>
        <w:rPr>
          <w:noProof/>
          <w:lang w:eastAsia="en-US"/>
        </w:rPr>
        <w:drawing>
          <wp:inline distT="0" distB="0" distL="0" distR="0" wp14:anchorId="08B70856" wp14:editId="7AC307DF">
            <wp:extent cx="3236976" cy="225424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6976" cy="2254242"/>
                    </a:xfrm>
                    <a:prstGeom prst="rect">
                      <a:avLst/>
                    </a:prstGeom>
                  </pic:spPr>
                </pic:pic>
              </a:graphicData>
            </a:graphic>
          </wp:inline>
        </w:drawing>
      </w:r>
    </w:p>
    <w:p w14:paraId="7BD573E8" w14:textId="21900BED" w:rsidR="0058255F" w:rsidRDefault="00A960C1" w:rsidP="0058255F">
      <w:pPr>
        <w:pStyle w:val="IEEEcaption"/>
        <w:rPr>
          <w:color w:val="auto"/>
        </w:rPr>
      </w:pPr>
      <w:r>
        <w:rPr>
          <w:color w:val="auto"/>
        </w:rPr>
        <w:t xml:space="preserve">Fig. 6. </w:t>
      </w:r>
      <w:r w:rsidR="00AF7E5B">
        <w:rPr>
          <w:color w:val="auto"/>
        </w:rPr>
        <w:t>Original vs. Predicted Model Output Results</w:t>
      </w:r>
      <w:r>
        <w:rPr>
          <w:color w:val="auto"/>
        </w:rPr>
        <w:t>.</w:t>
      </w:r>
    </w:p>
    <w:p w14:paraId="2E2654C5" w14:textId="77777777" w:rsidR="0086062F" w:rsidRDefault="0086062F" w:rsidP="0058255F">
      <w:pPr>
        <w:pStyle w:val="IEEEcaption"/>
        <w:rPr>
          <w:color w:val="auto"/>
        </w:rPr>
      </w:pPr>
    </w:p>
    <w:p w14:paraId="4B48FD2C" w14:textId="0F8EE2F6" w:rsidR="00F542C2" w:rsidRDefault="00DE7D52" w:rsidP="005927CE">
      <w:pPr>
        <w:pStyle w:val="IEEEpara"/>
      </w:pPr>
      <w:r>
        <w:t xml:space="preserve">However, even though the R-squared values were low and the MSEs were high, the features included in the models </w:t>
      </w:r>
      <w:r w:rsidR="00A960C1">
        <w:t xml:space="preserve">were </w:t>
      </w:r>
      <w:r>
        <w:t>generally significate based on their p test values (see Table 4).</w:t>
      </w:r>
      <w:r w:rsidR="00C66D5F">
        <w:t xml:space="preserve">  </w:t>
      </w:r>
      <w:r w:rsidR="00BB602C">
        <w:t xml:space="preserve">Conclusions about the relationships between the variables and the models can still be made </w:t>
      </w:r>
      <w:sdt>
        <w:sdtPr>
          <w:id w:val="1233114132"/>
          <w:citation/>
        </w:sdtPr>
        <w:sdtEndPr/>
        <w:sdtContent>
          <w:r w:rsidR="00BB602C">
            <w:fldChar w:fldCharType="begin"/>
          </w:r>
          <w:r w:rsidR="00BB602C">
            <w:instrText xml:space="preserve"> CITATION Dau19 \l 1033 </w:instrText>
          </w:r>
          <w:r w:rsidR="00BB602C">
            <w:fldChar w:fldCharType="separate"/>
          </w:r>
          <w:r w:rsidR="00BB602C" w:rsidRPr="00BB602C">
            <w:rPr>
              <w:noProof/>
            </w:rPr>
            <w:t>[10]</w:t>
          </w:r>
          <w:r w:rsidR="00BB602C">
            <w:fldChar w:fldCharType="end"/>
          </w:r>
        </w:sdtContent>
      </w:sdt>
      <w:r w:rsidR="00BB602C">
        <w:t xml:space="preserve">. Therefore, the models are still useful.  </w:t>
      </w:r>
    </w:p>
    <w:p w14:paraId="1898459E" w14:textId="24B37745" w:rsidR="00F542C2" w:rsidRDefault="00F542C2" w:rsidP="005927CE">
      <w:pPr>
        <w:pStyle w:val="IEEEpara"/>
      </w:pPr>
    </w:p>
    <w:p w14:paraId="5603014F" w14:textId="70BA6971" w:rsidR="00DE7D52" w:rsidRPr="006A1D9A" w:rsidRDefault="00DE7D52" w:rsidP="00DE7D52">
      <w:pPr>
        <w:pStyle w:val="IEEEcaption"/>
        <w:rPr>
          <w:color w:val="auto"/>
        </w:rPr>
      </w:pPr>
      <w:r w:rsidRPr="006A1D9A">
        <w:rPr>
          <w:color w:val="auto"/>
        </w:rPr>
        <w:t xml:space="preserve">Table </w:t>
      </w:r>
      <w:r>
        <w:rPr>
          <w:color w:val="auto"/>
        </w:rPr>
        <w:t>4</w:t>
      </w:r>
      <w:r w:rsidRPr="006A1D9A">
        <w:rPr>
          <w:color w:val="auto"/>
        </w:rPr>
        <w:t>. L</w:t>
      </w:r>
      <w:r w:rsidR="00B26A8B">
        <w:rPr>
          <w:color w:val="auto"/>
        </w:rPr>
        <w:t>inear</w:t>
      </w:r>
      <w:r>
        <w:rPr>
          <w:color w:val="auto"/>
        </w:rPr>
        <w:t xml:space="preserve"> Regression Model </w:t>
      </w:r>
      <w:r w:rsidR="001337F0">
        <w:rPr>
          <w:color w:val="auto"/>
        </w:rPr>
        <w:t>Features</w:t>
      </w:r>
      <w:r w:rsidRPr="006A1D9A">
        <w:rPr>
          <w:color w:val="auto"/>
        </w:rPr>
        <w:t xml:space="preserve"> </w:t>
      </w:r>
    </w:p>
    <w:tbl>
      <w:tblPr>
        <w:tblW w:w="5040" w:type="dxa"/>
        <w:tblInd w:w="108" w:type="dxa"/>
        <w:tblLook w:val="04A0" w:firstRow="1" w:lastRow="0" w:firstColumn="1" w:lastColumn="0" w:noHBand="0" w:noVBand="1"/>
      </w:tblPr>
      <w:tblGrid>
        <w:gridCol w:w="1548"/>
        <w:gridCol w:w="1530"/>
        <w:gridCol w:w="1962"/>
      </w:tblGrid>
      <w:tr w:rsidR="00DE7D52" w:rsidRPr="006A1D9A" w14:paraId="3CD38F5A" w14:textId="77777777" w:rsidTr="00F542C2">
        <w:trPr>
          <w:cantSplit/>
          <w:trHeight w:val="349"/>
        </w:trPr>
        <w:tc>
          <w:tcPr>
            <w:tcW w:w="1548" w:type="dxa"/>
            <w:tcBorders>
              <w:top w:val="single" w:sz="12" w:space="0" w:color="000000"/>
              <w:bottom w:val="single" w:sz="12" w:space="0" w:color="000000"/>
            </w:tcBorders>
            <w:shd w:val="clear" w:color="auto" w:fill="auto"/>
            <w:vAlign w:val="center"/>
          </w:tcPr>
          <w:p w14:paraId="4C561F4C" w14:textId="77777777" w:rsidR="00DE7D52" w:rsidRPr="006A1D9A" w:rsidRDefault="00DE7D52" w:rsidP="00E1356F">
            <w:pPr>
              <w:ind w:left="-23"/>
              <w:rPr>
                <w:rFonts w:eastAsia="Times New Roman"/>
                <w:sz w:val="16"/>
                <w:szCs w:val="18"/>
              </w:rPr>
            </w:pPr>
            <w:r w:rsidRPr="006A1D9A">
              <w:rPr>
                <w:rFonts w:eastAsia="Times New Roman"/>
                <w:sz w:val="16"/>
                <w:szCs w:val="18"/>
              </w:rPr>
              <w:t>Model</w:t>
            </w:r>
          </w:p>
        </w:tc>
        <w:tc>
          <w:tcPr>
            <w:tcW w:w="1530" w:type="dxa"/>
            <w:tcBorders>
              <w:top w:val="single" w:sz="12" w:space="0" w:color="000000"/>
              <w:bottom w:val="single" w:sz="12" w:space="0" w:color="000000"/>
            </w:tcBorders>
            <w:shd w:val="clear" w:color="auto" w:fill="auto"/>
            <w:vAlign w:val="center"/>
          </w:tcPr>
          <w:p w14:paraId="1EFB7A28" w14:textId="5082B622" w:rsidR="00DE7D52" w:rsidRPr="006A1D9A" w:rsidRDefault="00DE7D52" w:rsidP="00E1356F">
            <w:pPr>
              <w:ind w:left="22"/>
              <w:jc w:val="center"/>
              <w:rPr>
                <w:rFonts w:eastAsia="Times New Roman"/>
                <w:sz w:val="16"/>
                <w:szCs w:val="18"/>
              </w:rPr>
            </w:pPr>
            <w:r>
              <w:rPr>
                <w:rFonts w:eastAsia="Times New Roman"/>
                <w:sz w:val="16"/>
                <w:szCs w:val="18"/>
              </w:rPr>
              <w:t>Number of Features</w:t>
            </w:r>
          </w:p>
        </w:tc>
        <w:tc>
          <w:tcPr>
            <w:tcW w:w="1962" w:type="dxa"/>
            <w:tcBorders>
              <w:top w:val="single" w:sz="12" w:space="0" w:color="000000"/>
              <w:bottom w:val="single" w:sz="12" w:space="0" w:color="000000"/>
            </w:tcBorders>
            <w:vAlign w:val="center"/>
          </w:tcPr>
          <w:p w14:paraId="308A1850" w14:textId="0EFF1273" w:rsidR="00DE7D52" w:rsidRPr="006A1D9A" w:rsidRDefault="00DE7D52" w:rsidP="00E1356F">
            <w:pPr>
              <w:ind w:left="-22"/>
              <w:jc w:val="center"/>
              <w:rPr>
                <w:rFonts w:eastAsia="Times New Roman"/>
                <w:sz w:val="16"/>
                <w:szCs w:val="18"/>
              </w:rPr>
            </w:pPr>
            <w:r>
              <w:rPr>
                <w:rFonts w:eastAsia="Times New Roman"/>
                <w:sz w:val="16"/>
                <w:szCs w:val="18"/>
              </w:rPr>
              <w:t>Number of Features</w:t>
            </w:r>
            <w:r w:rsidR="007215EC">
              <w:rPr>
                <w:rFonts w:eastAsia="Times New Roman"/>
                <w:sz w:val="16"/>
                <w:szCs w:val="18"/>
              </w:rPr>
              <w:t xml:space="preserve"> with &lt;0.</w:t>
            </w:r>
            <w:r w:rsidR="00C66D5F">
              <w:rPr>
                <w:rFonts w:eastAsia="Times New Roman"/>
                <w:sz w:val="16"/>
                <w:szCs w:val="18"/>
              </w:rPr>
              <w:t>0</w:t>
            </w:r>
            <w:r w:rsidR="007215EC">
              <w:rPr>
                <w:rFonts w:eastAsia="Times New Roman"/>
                <w:sz w:val="16"/>
                <w:szCs w:val="18"/>
              </w:rPr>
              <w:t>5 p test Values</w:t>
            </w:r>
          </w:p>
        </w:tc>
      </w:tr>
      <w:tr w:rsidR="00DE7D52" w:rsidRPr="006A1D9A" w14:paraId="07AFF6A8" w14:textId="77777777" w:rsidTr="00F542C2">
        <w:trPr>
          <w:cantSplit/>
          <w:trHeight w:val="330"/>
        </w:trPr>
        <w:tc>
          <w:tcPr>
            <w:tcW w:w="1548" w:type="dxa"/>
            <w:shd w:val="clear" w:color="auto" w:fill="auto"/>
            <w:vAlign w:val="center"/>
          </w:tcPr>
          <w:p w14:paraId="1B2F44D1" w14:textId="77777777" w:rsidR="00DE7D52" w:rsidRPr="006A1D9A" w:rsidRDefault="00DE7D52" w:rsidP="00E1356F">
            <w:pPr>
              <w:ind w:left="-22"/>
              <w:rPr>
                <w:rFonts w:eastAsia="Times New Roman"/>
                <w:sz w:val="16"/>
                <w:szCs w:val="18"/>
              </w:rPr>
            </w:pPr>
            <w:r w:rsidRPr="006A1D9A">
              <w:rPr>
                <w:rFonts w:eastAsia="Times New Roman"/>
                <w:sz w:val="16"/>
                <w:szCs w:val="18"/>
              </w:rPr>
              <w:t>Full</w:t>
            </w:r>
          </w:p>
        </w:tc>
        <w:tc>
          <w:tcPr>
            <w:tcW w:w="1530" w:type="dxa"/>
            <w:vAlign w:val="center"/>
          </w:tcPr>
          <w:p w14:paraId="7F6FC696" w14:textId="6CD28FD3" w:rsidR="00DE7D52" w:rsidRPr="006A1D9A" w:rsidRDefault="00EF6AB0" w:rsidP="00E1356F">
            <w:pPr>
              <w:ind w:left="-24"/>
              <w:jc w:val="center"/>
              <w:rPr>
                <w:rFonts w:eastAsia="Times New Roman"/>
                <w:sz w:val="16"/>
                <w:szCs w:val="18"/>
              </w:rPr>
            </w:pPr>
            <w:r>
              <w:rPr>
                <w:rFonts w:eastAsia="Times New Roman"/>
                <w:sz w:val="16"/>
                <w:szCs w:val="18"/>
              </w:rPr>
              <w:t>50</w:t>
            </w:r>
          </w:p>
        </w:tc>
        <w:tc>
          <w:tcPr>
            <w:tcW w:w="1962" w:type="dxa"/>
            <w:shd w:val="clear" w:color="auto" w:fill="auto"/>
            <w:vAlign w:val="center"/>
          </w:tcPr>
          <w:p w14:paraId="7E225F53" w14:textId="0F1B28DB" w:rsidR="00DE7D52" w:rsidRPr="006A1D9A" w:rsidRDefault="00BF7822" w:rsidP="00E1356F">
            <w:pPr>
              <w:ind w:left="-24"/>
              <w:jc w:val="center"/>
              <w:rPr>
                <w:rFonts w:eastAsia="Times New Roman"/>
                <w:sz w:val="16"/>
                <w:szCs w:val="18"/>
              </w:rPr>
            </w:pPr>
            <w:r>
              <w:rPr>
                <w:rFonts w:eastAsia="Times New Roman"/>
                <w:sz w:val="16"/>
                <w:szCs w:val="18"/>
              </w:rPr>
              <w:t>16</w:t>
            </w:r>
          </w:p>
        </w:tc>
      </w:tr>
      <w:tr w:rsidR="00DE7D52" w:rsidRPr="006A1D9A" w14:paraId="79B4ED6D" w14:textId="77777777" w:rsidTr="00F542C2">
        <w:trPr>
          <w:cantSplit/>
          <w:trHeight w:val="311"/>
        </w:trPr>
        <w:tc>
          <w:tcPr>
            <w:tcW w:w="1548" w:type="dxa"/>
            <w:shd w:val="clear" w:color="auto" w:fill="auto"/>
            <w:vAlign w:val="center"/>
          </w:tcPr>
          <w:p w14:paraId="0496361E" w14:textId="77777777" w:rsidR="00DE7D52" w:rsidRPr="006A1D9A" w:rsidRDefault="00DE7D52" w:rsidP="00E1356F">
            <w:pPr>
              <w:ind w:left="-22"/>
              <w:rPr>
                <w:rFonts w:eastAsia="Times New Roman"/>
                <w:sz w:val="16"/>
                <w:szCs w:val="18"/>
              </w:rPr>
            </w:pPr>
            <w:r w:rsidRPr="006A1D9A">
              <w:rPr>
                <w:rFonts w:eastAsia="Times New Roman"/>
                <w:sz w:val="16"/>
                <w:szCs w:val="18"/>
              </w:rPr>
              <w:t>RFE</w:t>
            </w:r>
          </w:p>
        </w:tc>
        <w:tc>
          <w:tcPr>
            <w:tcW w:w="1530" w:type="dxa"/>
            <w:vAlign w:val="center"/>
          </w:tcPr>
          <w:p w14:paraId="11A6E163" w14:textId="043C5DF6" w:rsidR="00DE7D52" w:rsidRPr="006A1D9A" w:rsidRDefault="00EF6AB0" w:rsidP="00E1356F">
            <w:pPr>
              <w:ind w:left="-24"/>
              <w:jc w:val="center"/>
              <w:rPr>
                <w:rFonts w:eastAsia="Times New Roman"/>
                <w:sz w:val="16"/>
                <w:szCs w:val="18"/>
              </w:rPr>
            </w:pPr>
            <w:r>
              <w:rPr>
                <w:rFonts w:eastAsia="Times New Roman"/>
                <w:sz w:val="16"/>
                <w:szCs w:val="18"/>
              </w:rPr>
              <w:t>13</w:t>
            </w:r>
          </w:p>
        </w:tc>
        <w:tc>
          <w:tcPr>
            <w:tcW w:w="1962" w:type="dxa"/>
            <w:shd w:val="clear" w:color="auto" w:fill="auto"/>
            <w:vAlign w:val="center"/>
          </w:tcPr>
          <w:p w14:paraId="4A214731" w14:textId="6006141F" w:rsidR="00DE7D52" w:rsidRPr="006A1D9A" w:rsidRDefault="00EF6AB0" w:rsidP="00E1356F">
            <w:pPr>
              <w:ind w:left="-24"/>
              <w:jc w:val="center"/>
              <w:rPr>
                <w:rFonts w:eastAsia="Times New Roman"/>
                <w:sz w:val="16"/>
                <w:szCs w:val="18"/>
              </w:rPr>
            </w:pPr>
            <w:r>
              <w:rPr>
                <w:rFonts w:eastAsia="Times New Roman"/>
                <w:sz w:val="16"/>
                <w:szCs w:val="18"/>
              </w:rPr>
              <w:t>13</w:t>
            </w:r>
          </w:p>
        </w:tc>
      </w:tr>
      <w:tr w:rsidR="00DE7D52" w:rsidRPr="006A1D9A" w14:paraId="41F82E93" w14:textId="77777777" w:rsidTr="00F542C2">
        <w:trPr>
          <w:cantSplit/>
          <w:trHeight w:val="311"/>
        </w:trPr>
        <w:tc>
          <w:tcPr>
            <w:tcW w:w="1548" w:type="dxa"/>
            <w:shd w:val="clear" w:color="auto" w:fill="auto"/>
            <w:vAlign w:val="center"/>
          </w:tcPr>
          <w:p w14:paraId="2D056B81" w14:textId="77777777" w:rsidR="00DE7D52" w:rsidRPr="006A1D9A" w:rsidRDefault="00DE7D52" w:rsidP="00E1356F">
            <w:pPr>
              <w:ind w:left="-22"/>
              <w:rPr>
                <w:rFonts w:eastAsia="Times New Roman"/>
                <w:sz w:val="16"/>
                <w:szCs w:val="18"/>
              </w:rPr>
            </w:pPr>
            <w:r w:rsidRPr="006A1D9A">
              <w:rPr>
                <w:rFonts w:eastAsia="Times New Roman"/>
                <w:sz w:val="16"/>
                <w:szCs w:val="18"/>
              </w:rPr>
              <w:t>P-value Selection</w:t>
            </w:r>
          </w:p>
        </w:tc>
        <w:tc>
          <w:tcPr>
            <w:tcW w:w="1530" w:type="dxa"/>
            <w:vAlign w:val="center"/>
          </w:tcPr>
          <w:p w14:paraId="43FA05E9" w14:textId="4F7D3089" w:rsidR="00DE7D52" w:rsidRPr="006A1D9A" w:rsidRDefault="00EF6AB0" w:rsidP="00E1356F">
            <w:pPr>
              <w:ind w:left="-24"/>
              <w:jc w:val="center"/>
              <w:rPr>
                <w:rFonts w:eastAsia="Times New Roman"/>
                <w:sz w:val="16"/>
                <w:szCs w:val="18"/>
              </w:rPr>
            </w:pPr>
            <w:r>
              <w:rPr>
                <w:rFonts w:eastAsia="Times New Roman"/>
                <w:sz w:val="16"/>
                <w:szCs w:val="18"/>
              </w:rPr>
              <w:t>38</w:t>
            </w:r>
          </w:p>
        </w:tc>
        <w:tc>
          <w:tcPr>
            <w:tcW w:w="1962" w:type="dxa"/>
            <w:shd w:val="clear" w:color="auto" w:fill="auto"/>
            <w:vAlign w:val="center"/>
          </w:tcPr>
          <w:p w14:paraId="69C19183" w14:textId="3A880636" w:rsidR="00DE7D52" w:rsidRPr="006A1D9A" w:rsidRDefault="00BF7822" w:rsidP="00E1356F">
            <w:pPr>
              <w:ind w:left="-24"/>
              <w:jc w:val="center"/>
              <w:rPr>
                <w:rFonts w:eastAsia="Times New Roman"/>
                <w:sz w:val="16"/>
                <w:szCs w:val="18"/>
              </w:rPr>
            </w:pPr>
            <w:r>
              <w:rPr>
                <w:rFonts w:eastAsia="Times New Roman"/>
                <w:sz w:val="16"/>
                <w:szCs w:val="18"/>
              </w:rPr>
              <w:t>19</w:t>
            </w:r>
          </w:p>
        </w:tc>
      </w:tr>
      <w:tr w:rsidR="00DE7D52" w:rsidRPr="006A1D9A" w14:paraId="08768EEA" w14:textId="77777777" w:rsidTr="00F542C2">
        <w:trPr>
          <w:cantSplit/>
          <w:trHeight w:val="330"/>
        </w:trPr>
        <w:tc>
          <w:tcPr>
            <w:tcW w:w="1548" w:type="dxa"/>
            <w:tcBorders>
              <w:bottom w:val="single" w:sz="12" w:space="0" w:color="000000"/>
            </w:tcBorders>
            <w:shd w:val="clear" w:color="auto" w:fill="auto"/>
            <w:vAlign w:val="center"/>
          </w:tcPr>
          <w:p w14:paraId="691F8B07" w14:textId="77777777" w:rsidR="00DE7D52" w:rsidRPr="006A1D9A" w:rsidRDefault="00DE7D52" w:rsidP="00E1356F">
            <w:pPr>
              <w:ind w:left="-22"/>
              <w:rPr>
                <w:rFonts w:eastAsia="Times New Roman"/>
                <w:sz w:val="16"/>
                <w:szCs w:val="18"/>
              </w:rPr>
            </w:pPr>
            <w:r w:rsidRPr="006A1D9A">
              <w:rPr>
                <w:rFonts w:eastAsia="Times New Roman"/>
                <w:sz w:val="16"/>
                <w:szCs w:val="18"/>
              </w:rPr>
              <w:t>Log Transformation</w:t>
            </w:r>
          </w:p>
        </w:tc>
        <w:tc>
          <w:tcPr>
            <w:tcW w:w="1530" w:type="dxa"/>
            <w:tcBorders>
              <w:bottom w:val="single" w:sz="12" w:space="0" w:color="000000"/>
            </w:tcBorders>
            <w:vAlign w:val="center"/>
          </w:tcPr>
          <w:p w14:paraId="7A256C46" w14:textId="59462171" w:rsidR="00DE7D52" w:rsidRPr="006A1D9A" w:rsidRDefault="00A960C1" w:rsidP="00E1356F">
            <w:pPr>
              <w:ind w:left="-24"/>
              <w:jc w:val="center"/>
              <w:rPr>
                <w:rFonts w:eastAsia="Times New Roman"/>
                <w:sz w:val="16"/>
                <w:szCs w:val="18"/>
              </w:rPr>
            </w:pPr>
            <w:r>
              <w:rPr>
                <w:rFonts w:eastAsia="Times New Roman"/>
                <w:sz w:val="16"/>
                <w:szCs w:val="18"/>
              </w:rPr>
              <w:t>50</w:t>
            </w:r>
          </w:p>
        </w:tc>
        <w:tc>
          <w:tcPr>
            <w:tcW w:w="1962" w:type="dxa"/>
            <w:tcBorders>
              <w:bottom w:val="single" w:sz="12" w:space="0" w:color="000000"/>
            </w:tcBorders>
            <w:shd w:val="clear" w:color="auto" w:fill="auto"/>
            <w:vAlign w:val="center"/>
          </w:tcPr>
          <w:p w14:paraId="08B7A661" w14:textId="55722580" w:rsidR="00DE7D52" w:rsidRPr="006A1D9A" w:rsidRDefault="00BF7822" w:rsidP="00A960C1">
            <w:pPr>
              <w:ind w:left="-24"/>
              <w:jc w:val="center"/>
              <w:rPr>
                <w:rFonts w:eastAsia="Times New Roman"/>
                <w:sz w:val="16"/>
                <w:szCs w:val="18"/>
              </w:rPr>
            </w:pPr>
            <w:r>
              <w:rPr>
                <w:rFonts w:eastAsia="Times New Roman"/>
                <w:sz w:val="16"/>
                <w:szCs w:val="18"/>
              </w:rPr>
              <w:t>19</w:t>
            </w:r>
          </w:p>
        </w:tc>
      </w:tr>
    </w:tbl>
    <w:p w14:paraId="475558E9" w14:textId="77777777" w:rsidR="00DE7D52" w:rsidRDefault="00DE7D52" w:rsidP="00DE7D52">
      <w:pPr>
        <w:jc w:val="both"/>
        <w:rPr>
          <w:rFonts w:ascii="Times" w:eastAsia="Times New Roman" w:hAnsi="Times"/>
          <w:color w:val="0070C0"/>
          <w:shd w:val="clear" w:color="auto" w:fill="FFFFFF"/>
        </w:rPr>
      </w:pPr>
      <w:r>
        <w:rPr>
          <w:rFonts w:ascii="Times" w:eastAsia="Times New Roman" w:hAnsi="Times"/>
          <w:color w:val="0070C0"/>
          <w:shd w:val="clear" w:color="auto" w:fill="FFFFFF"/>
        </w:rPr>
        <w:t xml:space="preserve">   </w:t>
      </w:r>
    </w:p>
    <w:p w14:paraId="52B22109" w14:textId="720AC272" w:rsidR="00DE7D52" w:rsidRDefault="00A960C1" w:rsidP="005927CE">
      <w:pPr>
        <w:pStyle w:val="IEEEpara"/>
      </w:pPr>
      <w:r>
        <w:t>Th</w:t>
      </w:r>
      <w:r w:rsidR="00507848">
        <w:t>e best classical model was the p</w:t>
      </w:r>
      <w:r>
        <w:t>-value selection model.</w:t>
      </w:r>
      <w:r w:rsidR="00507848">
        <w:t xml:space="preserve">  This is the best model out of the three variations because it has the lowest MSE.  In addition, even though it does not result in the best R-squared value, it contains less features than the log transformation model making it less complex.</w:t>
      </w:r>
    </w:p>
    <w:p w14:paraId="7FDE844A" w14:textId="77777777" w:rsidR="00147061" w:rsidRPr="00EF21C7" w:rsidRDefault="005009C1">
      <w:pPr>
        <w:pStyle w:val="ListParagraph"/>
        <w:numPr>
          <w:ilvl w:val="0"/>
          <w:numId w:val="4"/>
        </w:numPr>
        <w:spacing w:before="120" w:after="120" w:line="240" w:lineRule="exact"/>
        <w:jc w:val="both"/>
        <w:rPr>
          <w:rFonts w:ascii="Times" w:hAnsi="Times"/>
          <w:i/>
        </w:rPr>
      </w:pPr>
      <w:r w:rsidRPr="00EF21C7">
        <w:rPr>
          <w:rFonts w:ascii="Times" w:hAnsi="Times"/>
          <w:i/>
        </w:rPr>
        <w:t>Neural Network Modeling</w:t>
      </w:r>
    </w:p>
    <w:p w14:paraId="353CAC10" w14:textId="4136A857" w:rsidR="00544F80" w:rsidRPr="00EF21C7" w:rsidRDefault="000B546C">
      <w:pPr>
        <w:pStyle w:val="IEEEpara"/>
      </w:pPr>
      <w:r w:rsidRPr="00EF21C7">
        <w:t xml:space="preserve">The neural networking models </w:t>
      </w:r>
      <w:r w:rsidR="001D73B1" w:rsidRPr="00EF21C7">
        <w:t>produced</w:t>
      </w:r>
      <w:r w:rsidRPr="00EF21C7">
        <w:t xml:space="preserve"> a wider range of MSE values </w:t>
      </w:r>
      <w:r w:rsidR="001D73B1" w:rsidRPr="00EF21C7">
        <w:t>than the classical models.  The</w:t>
      </w:r>
      <w:r w:rsidRPr="00EF21C7">
        <w:t xml:space="preserve"> preliminary model </w:t>
      </w:r>
      <w:r w:rsidR="001D73B1" w:rsidRPr="00EF21C7">
        <w:t>resulted in</w:t>
      </w:r>
      <w:r w:rsidRPr="00EF21C7">
        <w:t xml:space="preserve"> the highest MSE value</w:t>
      </w:r>
      <w:r w:rsidR="001D73B1" w:rsidRPr="00EF21C7">
        <w:t xml:space="preserve"> and the </w:t>
      </w:r>
      <w:r w:rsidR="00544F80" w:rsidRPr="00EF21C7">
        <w:t>HP</w:t>
      </w:r>
      <w:r w:rsidR="001D73B1" w:rsidRPr="00EF21C7">
        <w:t xml:space="preserve"> model achieved the lowest value (see Table 5).</w:t>
      </w:r>
      <w:r w:rsidR="00544F80" w:rsidRPr="00EF21C7">
        <w:t xml:space="preserve">  The HP sweep testing revealed that the model achieved the lowest MSE with a learning r</w:t>
      </w:r>
      <w:r w:rsidR="00EF21C7" w:rsidRPr="00EF21C7">
        <w:t>ate of 0.01 or 0.1.  In general</w:t>
      </w:r>
      <w:r w:rsidR="00544F80" w:rsidRPr="00EF21C7">
        <w:t xml:space="preserve">, </w:t>
      </w:r>
      <w:r w:rsidR="00EF21C7" w:rsidRPr="00EF21C7">
        <w:t xml:space="preserve">the more neurons, layers, and epochs that was added, the better the MSE.  However, the learning rate made the most impact.  </w:t>
      </w:r>
      <w:r w:rsidR="00544F80" w:rsidRPr="00EF21C7">
        <w:t>Based on the results of the first multiple HP sweep, the early stopping included a patience setting equal to 15 epochs because the models seemed to be overfitting quickly.</w:t>
      </w:r>
    </w:p>
    <w:p w14:paraId="47418CE3" w14:textId="38C6A9F8" w:rsidR="00D278E3" w:rsidRDefault="00D278E3" w:rsidP="009A2ED4">
      <w:pPr>
        <w:pStyle w:val="IEEEBullet"/>
        <w:ind w:left="0"/>
        <w:rPr>
          <w:color w:val="0070C0"/>
        </w:rPr>
      </w:pPr>
    </w:p>
    <w:p w14:paraId="3FA43DF4" w14:textId="790B8174" w:rsidR="00D278E3" w:rsidRPr="006A1D9A" w:rsidRDefault="00D278E3" w:rsidP="00D278E3">
      <w:pPr>
        <w:pStyle w:val="IEEEcaption"/>
        <w:rPr>
          <w:color w:val="auto"/>
        </w:rPr>
      </w:pPr>
      <w:r w:rsidRPr="006A1D9A">
        <w:rPr>
          <w:color w:val="auto"/>
        </w:rPr>
        <w:t xml:space="preserve">Table </w:t>
      </w:r>
      <w:r w:rsidR="00AF7E5B">
        <w:rPr>
          <w:color w:val="auto"/>
        </w:rPr>
        <w:t>5</w:t>
      </w:r>
      <w:r w:rsidRPr="006A1D9A">
        <w:rPr>
          <w:color w:val="auto"/>
        </w:rPr>
        <w:t xml:space="preserve">. </w:t>
      </w:r>
      <w:r w:rsidR="00AF7E5B">
        <w:rPr>
          <w:color w:val="auto"/>
        </w:rPr>
        <w:t xml:space="preserve">Neural Network </w:t>
      </w:r>
      <w:r>
        <w:rPr>
          <w:color w:val="auto"/>
        </w:rPr>
        <w:t>Regression Model Results</w:t>
      </w:r>
      <w:r w:rsidRPr="006A1D9A">
        <w:rPr>
          <w:color w:val="auto"/>
        </w:rPr>
        <w:t xml:space="preserve"> </w:t>
      </w:r>
    </w:p>
    <w:tbl>
      <w:tblPr>
        <w:tblW w:w="5130" w:type="dxa"/>
        <w:tblInd w:w="108" w:type="dxa"/>
        <w:tblLook w:val="04A0" w:firstRow="1" w:lastRow="0" w:firstColumn="1" w:lastColumn="0" w:noHBand="0" w:noVBand="1"/>
      </w:tblPr>
      <w:tblGrid>
        <w:gridCol w:w="1252"/>
        <w:gridCol w:w="670"/>
        <w:gridCol w:w="737"/>
        <w:gridCol w:w="890"/>
        <w:gridCol w:w="772"/>
        <w:gridCol w:w="809"/>
      </w:tblGrid>
      <w:tr w:rsidR="005733D3" w:rsidRPr="006A1D9A" w14:paraId="5174F831" w14:textId="1B1E56FD" w:rsidTr="005733D3">
        <w:trPr>
          <w:cantSplit/>
          <w:trHeight w:val="349"/>
        </w:trPr>
        <w:tc>
          <w:tcPr>
            <w:tcW w:w="1252" w:type="dxa"/>
            <w:tcBorders>
              <w:top w:val="single" w:sz="12" w:space="0" w:color="000000"/>
              <w:bottom w:val="single" w:sz="12" w:space="0" w:color="000000"/>
            </w:tcBorders>
            <w:shd w:val="clear" w:color="auto" w:fill="auto"/>
            <w:vAlign w:val="center"/>
          </w:tcPr>
          <w:p w14:paraId="1AE982EC" w14:textId="77777777" w:rsidR="00D278E3" w:rsidRPr="006A1D9A" w:rsidRDefault="00D278E3" w:rsidP="00FA08B0">
            <w:pPr>
              <w:ind w:left="-23"/>
              <w:rPr>
                <w:rFonts w:eastAsia="Times New Roman"/>
                <w:sz w:val="16"/>
                <w:szCs w:val="18"/>
              </w:rPr>
            </w:pPr>
            <w:r w:rsidRPr="006A1D9A">
              <w:rPr>
                <w:rFonts w:eastAsia="Times New Roman"/>
                <w:sz w:val="16"/>
                <w:szCs w:val="18"/>
              </w:rPr>
              <w:t>Model</w:t>
            </w:r>
          </w:p>
        </w:tc>
        <w:tc>
          <w:tcPr>
            <w:tcW w:w="670" w:type="dxa"/>
            <w:tcBorders>
              <w:top w:val="single" w:sz="12" w:space="0" w:color="000000"/>
              <w:bottom w:val="single" w:sz="12" w:space="0" w:color="000000"/>
            </w:tcBorders>
            <w:shd w:val="clear" w:color="auto" w:fill="auto"/>
            <w:vAlign w:val="center"/>
          </w:tcPr>
          <w:p w14:paraId="0B5063F1" w14:textId="1D5FA77D" w:rsidR="00D278E3" w:rsidRPr="006A1D9A" w:rsidRDefault="00D278E3" w:rsidP="00FA08B0">
            <w:pPr>
              <w:ind w:left="22"/>
              <w:jc w:val="center"/>
              <w:rPr>
                <w:rFonts w:eastAsia="Times New Roman"/>
                <w:sz w:val="16"/>
                <w:szCs w:val="18"/>
              </w:rPr>
            </w:pPr>
            <w:r>
              <w:rPr>
                <w:rFonts w:eastAsia="Times New Roman"/>
                <w:sz w:val="16"/>
                <w:szCs w:val="18"/>
              </w:rPr>
              <w:t>MSE</w:t>
            </w:r>
          </w:p>
        </w:tc>
        <w:tc>
          <w:tcPr>
            <w:tcW w:w="737" w:type="dxa"/>
            <w:tcBorders>
              <w:top w:val="single" w:sz="12" w:space="0" w:color="000000"/>
              <w:bottom w:val="single" w:sz="12" w:space="0" w:color="000000"/>
            </w:tcBorders>
            <w:vAlign w:val="center"/>
          </w:tcPr>
          <w:p w14:paraId="2616BD9D" w14:textId="6B44FD95" w:rsidR="00D278E3" w:rsidRPr="006A1D9A" w:rsidRDefault="00D278E3" w:rsidP="00FA08B0">
            <w:pPr>
              <w:ind w:left="-22"/>
              <w:jc w:val="center"/>
              <w:rPr>
                <w:rFonts w:eastAsia="Times New Roman"/>
                <w:sz w:val="16"/>
                <w:szCs w:val="18"/>
              </w:rPr>
            </w:pPr>
            <w:r>
              <w:rPr>
                <w:rFonts w:eastAsia="Times New Roman"/>
                <w:sz w:val="16"/>
                <w:szCs w:val="18"/>
              </w:rPr>
              <w:t>Number of Neurons</w:t>
            </w:r>
          </w:p>
        </w:tc>
        <w:tc>
          <w:tcPr>
            <w:tcW w:w="890" w:type="dxa"/>
            <w:tcBorders>
              <w:top w:val="single" w:sz="12" w:space="0" w:color="000000"/>
              <w:bottom w:val="single" w:sz="12" w:space="0" w:color="000000"/>
            </w:tcBorders>
            <w:vAlign w:val="center"/>
          </w:tcPr>
          <w:p w14:paraId="26B56CC5" w14:textId="722208A3" w:rsidR="00D278E3" w:rsidRDefault="00D278E3" w:rsidP="005733D3">
            <w:pPr>
              <w:ind w:left="-22"/>
              <w:jc w:val="center"/>
              <w:rPr>
                <w:rFonts w:eastAsia="Times New Roman"/>
                <w:sz w:val="16"/>
                <w:szCs w:val="18"/>
              </w:rPr>
            </w:pPr>
            <w:r>
              <w:rPr>
                <w:rFonts w:eastAsia="Times New Roman"/>
                <w:sz w:val="16"/>
                <w:szCs w:val="18"/>
              </w:rPr>
              <w:t xml:space="preserve">Number of </w:t>
            </w:r>
            <w:r w:rsidR="005733D3">
              <w:rPr>
                <w:rFonts w:eastAsia="Times New Roman"/>
                <w:sz w:val="16"/>
                <w:szCs w:val="18"/>
              </w:rPr>
              <w:t xml:space="preserve">Hidden </w:t>
            </w:r>
            <w:r>
              <w:rPr>
                <w:rFonts w:eastAsia="Times New Roman"/>
                <w:sz w:val="16"/>
                <w:szCs w:val="18"/>
              </w:rPr>
              <w:t>Layers</w:t>
            </w:r>
          </w:p>
        </w:tc>
        <w:tc>
          <w:tcPr>
            <w:tcW w:w="772" w:type="dxa"/>
            <w:tcBorders>
              <w:top w:val="single" w:sz="12" w:space="0" w:color="000000"/>
              <w:bottom w:val="single" w:sz="12" w:space="0" w:color="000000"/>
            </w:tcBorders>
            <w:vAlign w:val="center"/>
          </w:tcPr>
          <w:p w14:paraId="22CF5E76" w14:textId="3200844A" w:rsidR="00D278E3" w:rsidRDefault="00D278E3" w:rsidP="005733D3">
            <w:pPr>
              <w:ind w:left="-22"/>
              <w:jc w:val="center"/>
              <w:rPr>
                <w:rFonts w:eastAsia="Times New Roman"/>
                <w:sz w:val="16"/>
                <w:szCs w:val="18"/>
              </w:rPr>
            </w:pPr>
            <w:r>
              <w:rPr>
                <w:rFonts w:eastAsia="Times New Roman"/>
                <w:sz w:val="16"/>
                <w:szCs w:val="18"/>
              </w:rPr>
              <w:t>Learning Rate</w:t>
            </w:r>
          </w:p>
        </w:tc>
        <w:tc>
          <w:tcPr>
            <w:tcW w:w="809" w:type="dxa"/>
            <w:tcBorders>
              <w:top w:val="single" w:sz="12" w:space="0" w:color="000000"/>
              <w:bottom w:val="single" w:sz="12" w:space="0" w:color="000000"/>
            </w:tcBorders>
            <w:vAlign w:val="center"/>
          </w:tcPr>
          <w:p w14:paraId="4693BC84" w14:textId="7F04951C" w:rsidR="00D278E3" w:rsidRDefault="00D278E3" w:rsidP="005733D3">
            <w:pPr>
              <w:ind w:left="-22"/>
              <w:jc w:val="center"/>
              <w:rPr>
                <w:rFonts w:eastAsia="Times New Roman"/>
                <w:sz w:val="16"/>
                <w:szCs w:val="18"/>
              </w:rPr>
            </w:pPr>
            <w:r>
              <w:rPr>
                <w:rFonts w:eastAsia="Times New Roman"/>
                <w:sz w:val="16"/>
                <w:szCs w:val="18"/>
              </w:rPr>
              <w:t>Epochs</w:t>
            </w:r>
          </w:p>
        </w:tc>
      </w:tr>
      <w:tr w:rsidR="005733D3" w:rsidRPr="006A1D9A" w14:paraId="4793F37D" w14:textId="5D273397" w:rsidTr="005733D3">
        <w:trPr>
          <w:cantSplit/>
          <w:trHeight w:val="330"/>
        </w:trPr>
        <w:tc>
          <w:tcPr>
            <w:tcW w:w="1252" w:type="dxa"/>
            <w:shd w:val="clear" w:color="auto" w:fill="auto"/>
            <w:vAlign w:val="center"/>
          </w:tcPr>
          <w:p w14:paraId="0F624692" w14:textId="1C46EFA1" w:rsidR="00D278E3" w:rsidRPr="006A1D9A" w:rsidRDefault="00D278E3" w:rsidP="00D278E3">
            <w:pPr>
              <w:ind w:left="-22"/>
              <w:rPr>
                <w:rFonts w:eastAsia="Times New Roman"/>
                <w:sz w:val="16"/>
                <w:szCs w:val="18"/>
              </w:rPr>
            </w:pPr>
            <w:r>
              <w:rPr>
                <w:rFonts w:eastAsia="Times New Roman"/>
                <w:sz w:val="16"/>
                <w:szCs w:val="18"/>
              </w:rPr>
              <w:t>Preliminary</w:t>
            </w:r>
          </w:p>
        </w:tc>
        <w:tc>
          <w:tcPr>
            <w:tcW w:w="670" w:type="dxa"/>
            <w:vAlign w:val="center"/>
          </w:tcPr>
          <w:p w14:paraId="483A0F8D" w14:textId="0DB56E94" w:rsidR="00D278E3" w:rsidRPr="006A1D9A" w:rsidRDefault="00D278E3" w:rsidP="00FA08B0">
            <w:pPr>
              <w:ind w:left="-24"/>
              <w:jc w:val="center"/>
              <w:rPr>
                <w:rFonts w:eastAsia="Times New Roman"/>
                <w:sz w:val="16"/>
                <w:szCs w:val="18"/>
              </w:rPr>
            </w:pPr>
            <w:r>
              <w:rPr>
                <w:rFonts w:eastAsia="Times New Roman"/>
                <w:sz w:val="16"/>
                <w:szCs w:val="18"/>
              </w:rPr>
              <w:t>3086</w:t>
            </w:r>
          </w:p>
        </w:tc>
        <w:tc>
          <w:tcPr>
            <w:tcW w:w="737" w:type="dxa"/>
            <w:shd w:val="clear" w:color="auto" w:fill="auto"/>
            <w:vAlign w:val="center"/>
          </w:tcPr>
          <w:p w14:paraId="76737D1F" w14:textId="6DF63E7E" w:rsidR="00D278E3" w:rsidRPr="006A1D9A" w:rsidRDefault="00D278E3" w:rsidP="00FA08B0">
            <w:pPr>
              <w:ind w:left="-24"/>
              <w:jc w:val="center"/>
              <w:rPr>
                <w:rFonts w:eastAsia="Times New Roman"/>
                <w:sz w:val="16"/>
                <w:szCs w:val="18"/>
              </w:rPr>
            </w:pPr>
            <w:r>
              <w:rPr>
                <w:rFonts w:eastAsia="Times New Roman"/>
                <w:sz w:val="16"/>
                <w:szCs w:val="18"/>
              </w:rPr>
              <w:t>4</w:t>
            </w:r>
          </w:p>
        </w:tc>
        <w:tc>
          <w:tcPr>
            <w:tcW w:w="890" w:type="dxa"/>
            <w:vAlign w:val="center"/>
          </w:tcPr>
          <w:p w14:paraId="2B55E723" w14:textId="4F144352" w:rsidR="00D278E3" w:rsidRDefault="005733D3" w:rsidP="005733D3">
            <w:pPr>
              <w:ind w:left="-24"/>
              <w:jc w:val="center"/>
              <w:rPr>
                <w:rFonts w:eastAsia="Times New Roman"/>
                <w:sz w:val="16"/>
                <w:szCs w:val="18"/>
              </w:rPr>
            </w:pPr>
            <w:r>
              <w:rPr>
                <w:rFonts w:eastAsia="Times New Roman"/>
                <w:sz w:val="16"/>
                <w:szCs w:val="18"/>
              </w:rPr>
              <w:t>2</w:t>
            </w:r>
          </w:p>
        </w:tc>
        <w:tc>
          <w:tcPr>
            <w:tcW w:w="772" w:type="dxa"/>
            <w:vAlign w:val="center"/>
          </w:tcPr>
          <w:p w14:paraId="0748253F" w14:textId="1957DF90" w:rsidR="00D278E3" w:rsidRDefault="005733D3" w:rsidP="005733D3">
            <w:pPr>
              <w:ind w:left="-24"/>
              <w:jc w:val="center"/>
              <w:rPr>
                <w:rFonts w:eastAsia="Times New Roman"/>
                <w:sz w:val="16"/>
                <w:szCs w:val="18"/>
              </w:rPr>
            </w:pPr>
            <w:r>
              <w:rPr>
                <w:rFonts w:eastAsia="Times New Roman"/>
                <w:sz w:val="16"/>
                <w:szCs w:val="18"/>
              </w:rPr>
              <w:t>0.005</w:t>
            </w:r>
          </w:p>
        </w:tc>
        <w:tc>
          <w:tcPr>
            <w:tcW w:w="809" w:type="dxa"/>
            <w:vAlign w:val="center"/>
          </w:tcPr>
          <w:p w14:paraId="0DBC162A" w14:textId="36AE1720" w:rsidR="00D278E3" w:rsidRDefault="005733D3" w:rsidP="005733D3">
            <w:pPr>
              <w:ind w:left="-24"/>
              <w:jc w:val="center"/>
              <w:rPr>
                <w:rFonts w:eastAsia="Times New Roman"/>
                <w:sz w:val="16"/>
                <w:szCs w:val="18"/>
              </w:rPr>
            </w:pPr>
            <w:r>
              <w:rPr>
                <w:rFonts w:eastAsia="Times New Roman"/>
                <w:sz w:val="16"/>
                <w:szCs w:val="18"/>
              </w:rPr>
              <w:t>100</w:t>
            </w:r>
          </w:p>
        </w:tc>
      </w:tr>
      <w:tr w:rsidR="00D278E3" w:rsidRPr="006A1D9A" w14:paraId="05837238" w14:textId="5BE2A35A" w:rsidTr="005733D3">
        <w:trPr>
          <w:cantSplit/>
          <w:trHeight w:val="311"/>
        </w:trPr>
        <w:tc>
          <w:tcPr>
            <w:tcW w:w="1252" w:type="dxa"/>
            <w:shd w:val="clear" w:color="auto" w:fill="auto"/>
            <w:vAlign w:val="center"/>
          </w:tcPr>
          <w:p w14:paraId="11F0EB8A" w14:textId="60E6EA35" w:rsidR="00D278E3" w:rsidRPr="006A1D9A" w:rsidRDefault="00544F80" w:rsidP="00D278E3">
            <w:pPr>
              <w:ind w:left="-22"/>
              <w:rPr>
                <w:rFonts w:eastAsia="Times New Roman"/>
                <w:sz w:val="16"/>
                <w:szCs w:val="18"/>
              </w:rPr>
            </w:pPr>
            <w:r>
              <w:rPr>
                <w:rFonts w:eastAsia="Times New Roman"/>
                <w:sz w:val="16"/>
                <w:szCs w:val="18"/>
              </w:rPr>
              <w:t>HP Sweep</w:t>
            </w:r>
          </w:p>
        </w:tc>
        <w:tc>
          <w:tcPr>
            <w:tcW w:w="670" w:type="dxa"/>
            <w:vAlign w:val="center"/>
          </w:tcPr>
          <w:p w14:paraId="6288BA8A" w14:textId="7DEE7F58" w:rsidR="00D278E3" w:rsidRPr="006A1D9A" w:rsidRDefault="006A12AD" w:rsidP="00FA08B0">
            <w:pPr>
              <w:ind w:left="-24"/>
              <w:jc w:val="center"/>
              <w:rPr>
                <w:rFonts w:eastAsia="Times New Roman"/>
                <w:sz w:val="16"/>
                <w:szCs w:val="18"/>
              </w:rPr>
            </w:pPr>
            <w:r>
              <w:rPr>
                <w:rFonts w:eastAsia="Times New Roman"/>
                <w:sz w:val="16"/>
                <w:szCs w:val="18"/>
              </w:rPr>
              <w:t>1535</w:t>
            </w:r>
          </w:p>
        </w:tc>
        <w:tc>
          <w:tcPr>
            <w:tcW w:w="737" w:type="dxa"/>
            <w:shd w:val="clear" w:color="auto" w:fill="auto"/>
            <w:vAlign w:val="center"/>
          </w:tcPr>
          <w:p w14:paraId="32691CD2" w14:textId="3627BC51" w:rsidR="00D278E3" w:rsidRPr="006A1D9A" w:rsidRDefault="005733D3" w:rsidP="00FA08B0">
            <w:pPr>
              <w:ind w:left="-24"/>
              <w:jc w:val="center"/>
              <w:rPr>
                <w:rFonts w:eastAsia="Times New Roman"/>
                <w:sz w:val="16"/>
                <w:szCs w:val="18"/>
              </w:rPr>
            </w:pPr>
            <w:r>
              <w:rPr>
                <w:rFonts w:eastAsia="Times New Roman"/>
                <w:sz w:val="16"/>
                <w:szCs w:val="18"/>
              </w:rPr>
              <w:t>32</w:t>
            </w:r>
          </w:p>
        </w:tc>
        <w:tc>
          <w:tcPr>
            <w:tcW w:w="890" w:type="dxa"/>
            <w:vAlign w:val="center"/>
          </w:tcPr>
          <w:p w14:paraId="6A5F1A79" w14:textId="2D704C3A" w:rsidR="00D278E3" w:rsidRDefault="005733D3" w:rsidP="005733D3">
            <w:pPr>
              <w:ind w:left="-24"/>
              <w:jc w:val="center"/>
              <w:rPr>
                <w:rFonts w:eastAsia="Times New Roman"/>
                <w:sz w:val="16"/>
                <w:szCs w:val="18"/>
              </w:rPr>
            </w:pPr>
            <w:r>
              <w:rPr>
                <w:rFonts w:eastAsia="Times New Roman"/>
                <w:sz w:val="16"/>
                <w:szCs w:val="18"/>
              </w:rPr>
              <w:t>3</w:t>
            </w:r>
          </w:p>
        </w:tc>
        <w:tc>
          <w:tcPr>
            <w:tcW w:w="772" w:type="dxa"/>
            <w:vAlign w:val="center"/>
          </w:tcPr>
          <w:p w14:paraId="53624C36" w14:textId="5871DE64" w:rsidR="00D278E3" w:rsidRDefault="005733D3" w:rsidP="005733D3">
            <w:pPr>
              <w:ind w:left="-24"/>
              <w:jc w:val="center"/>
              <w:rPr>
                <w:rFonts w:eastAsia="Times New Roman"/>
                <w:sz w:val="16"/>
                <w:szCs w:val="18"/>
              </w:rPr>
            </w:pPr>
            <w:r>
              <w:rPr>
                <w:rFonts w:eastAsia="Times New Roman"/>
                <w:sz w:val="16"/>
                <w:szCs w:val="18"/>
              </w:rPr>
              <w:t>0.01</w:t>
            </w:r>
          </w:p>
        </w:tc>
        <w:tc>
          <w:tcPr>
            <w:tcW w:w="809" w:type="dxa"/>
            <w:vAlign w:val="center"/>
          </w:tcPr>
          <w:p w14:paraId="506118F8" w14:textId="417E246A" w:rsidR="00D278E3" w:rsidRDefault="005733D3" w:rsidP="005733D3">
            <w:pPr>
              <w:ind w:left="-24"/>
              <w:jc w:val="center"/>
              <w:rPr>
                <w:rFonts w:eastAsia="Times New Roman"/>
                <w:sz w:val="16"/>
                <w:szCs w:val="18"/>
              </w:rPr>
            </w:pPr>
            <w:r>
              <w:rPr>
                <w:rFonts w:eastAsia="Times New Roman"/>
                <w:sz w:val="16"/>
                <w:szCs w:val="18"/>
              </w:rPr>
              <w:t>200</w:t>
            </w:r>
          </w:p>
        </w:tc>
      </w:tr>
      <w:tr w:rsidR="00D278E3" w:rsidRPr="006A1D9A" w14:paraId="67303A4D" w14:textId="7479E781" w:rsidTr="005733D3">
        <w:trPr>
          <w:cantSplit/>
          <w:trHeight w:val="330"/>
        </w:trPr>
        <w:tc>
          <w:tcPr>
            <w:tcW w:w="1252" w:type="dxa"/>
            <w:tcBorders>
              <w:bottom w:val="single" w:sz="12" w:space="0" w:color="000000"/>
            </w:tcBorders>
            <w:shd w:val="clear" w:color="auto" w:fill="auto"/>
            <w:vAlign w:val="center"/>
          </w:tcPr>
          <w:p w14:paraId="2CA27512" w14:textId="23C63C76" w:rsidR="00D278E3" w:rsidRPr="006A1D9A" w:rsidRDefault="00D278E3" w:rsidP="00FA08B0">
            <w:pPr>
              <w:ind w:left="-22"/>
              <w:rPr>
                <w:rFonts w:eastAsia="Times New Roman"/>
                <w:sz w:val="16"/>
                <w:szCs w:val="18"/>
              </w:rPr>
            </w:pPr>
            <w:r>
              <w:rPr>
                <w:rFonts w:eastAsia="Times New Roman"/>
                <w:sz w:val="16"/>
                <w:szCs w:val="18"/>
              </w:rPr>
              <w:t>Early Stopping</w:t>
            </w:r>
          </w:p>
        </w:tc>
        <w:tc>
          <w:tcPr>
            <w:tcW w:w="670" w:type="dxa"/>
            <w:tcBorders>
              <w:bottom w:val="single" w:sz="12" w:space="0" w:color="000000"/>
            </w:tcBorders>
            <w:vAlign w:val="center"/>
          </w:tcPr>
          <w:p w14:paraId="6F71F95F" w14:textId="55F0C0B3" w:rsidR="00D278E3" w:rsidRPr="006A1D9A" w:rsidRDefault="005733D3" w:rsidP="00FA08B0">
            <w:pPr>
              <w:ind w:left="-24"/>
              <w:jc w:val="center"/>
              <w:rPr>
                <w:rFonts w:eastAsia="Times New Roman"/>
                <w:sz w:val="16"/>
                <w:szCs w:val="18"/>
              </w:rPr>
            </w:pPr>
            <w:r>
              <w:rPr>
                <w:rFonts w:eastAsia="Times New Roman"/>
                <w:sz w:val="16"/>
                <w:szCs w:val="18"/>
              </w:rPr>
              <w:t>2422</w:t>
            </w:r>
          </w:p>
        </w:tc>
        <w:tc>
          <w:tcPr>
            <w:tcW w:w="737" w:type="dxa"/>
            <w:tcBorders>
              <w:bottom w:val="single" w:sz="12" w:space="0" w:color="000000"/>
            </w:tcBorders>
            <w:shd w:val="clear" w:color="auto" w:fill="auto"/>
            <w:vAlign w:val="center"/>
          </w:tcPr>
          <w:p w14:paraId="02789672" w14:textId="49807B18" w:rsidR="00D278E3" w:rsidRPr="006A1D9A" w:rsidRDefault="005733D3" w:rsidP="00FA08B0">
            <w:pPr>
              <w:ind w:left="-24"/>
              <w:jc w:val="center"/>
              <w:rPr>
                <w:rFonts w:eastAsia="Times New Roman"/>
                <w:sz w:val="16"/>
                <w:szCs w:val="18"/>
              </w:rPr>
            </w:pPr>
            <w:r>
              <w:rPr>
                <w:rFonts w:eastAsia="Times New Roman"/>
                <w:sz w:val="16"/>
                <w:szCs w:val="18"/>
              </w:rPr>
              <w:t>32</w:t>
            </w:r>
          </w:p>
        </w:tc>
        <w:tc>
          <w:tcPr>
            <w:tcW w:w="890" w:type="dxa"/>
            <w:tcBorders>
              <w:bottom w:val="single" w:sz="12" w:space="0" w:color="000000"/>
            </w:tcBorders>
            <w:vAlign w:val="center"/>
          </w:tcPr>
          <w:p w14:paraId="32467D5B" w14:textId="60FF14E5" w:rsidR="00D278E3" w:rsidRDefault="005733D3" w:rsidP="005733D3">
            <w:pPr>
              <w:ind w:left="-24"/>
              <w:jc w:val="center"/>
              <w:rPr>
                <w:rFonts w:eastAsia="Times New Roman"/>
                <w:sz w:val="16"/>
                <w:szCs w:val="18"/>
              </w:rPr>
            </w:pPr>
            <w:r>
              <w:rPr>
                <w:rFonts w:eastAsia="Times New Roman"/>
                <w:sz w:val="16"/>
                <w:szCs w:val="18"/>
              </w:rPr>
              <w:t>2</w:t>
            </w:r>
          </w:p>
        </w:tc>
        <w:tc>
          <w:tcPr>
            <w:tcW w:w="772" w:type="dxa"/>
            <w:tcBorders>
              <w:bottom w:val="single" w:sz="12" w:space="0" w:color="000000"/>
            </w:tcBorders>
            <w:vAlign w:val="center"/>
          </w:tcPr>
          <w:p w14:paraId="4EC07108" w14:textId="3CDCA920" w:rsidR="00D278E3" w:rsidRDefault="005733D3" w:rsidP="005733D3">
            <w:pPr>
              <w:ind w:left="-24"/>
              <w:jc w:val="center"/>
              <w:rPr>
                <w:rFonts w:eastAsia="Times New Roman"/>
                <w:sz w:val="16"/>
                <w:szCs w:val="18"/>
              </w:rPr>
            </w:pPr>
            <w:r>
              <w:rPr>
                <w:rFonts w:eastAsia="Times New Roman"/>
                <w:sz w:val="16"/>
                <w:szCs w:val="18"/>
              </w:rPr>
              <w:t>0.1</w:t>
            </w:r>
          </w:p>
        </w:tc>
        <w:tc>
          <w:tcPr>
            <w:tcW w:w="809" w:type="dxa"/>
            <w:tcBorders>
              <w:bottom w:val="single" w:sz="12" w:space="0" w:color="000000"/>
            </w:tcBorders>
            <w:vAlign w:val="center"/>
          </w:tcPr>
          <w:p w14:paraId="1E56B3C1" w14:textId="1299A52F" w:rsidR="00D278E3" w:rsidRDefault="005733D3" w:rsidP="005733D3">
            <w:pPr>
              <w:ind w:left="-24"/>
              <w:jc w:val="center"/>
              <w:rPr>
                <w:rFonts w:eastAsia="Times New Roman"/>
                <w:sz w:val="16"/>
                <w:szCs w:val="18"/>
              </w:rPr>
            </w:pPr>
            <w:r>
              <w:rPr>
                <w:rFonts w:eastAsia="Times New Roman"/>
                <w:sz w:val="16"/>
                <w:szCs w:val="18"/>
              </w:rPr>
              <w:t>100</w:t>
            </w:r>
          </w:p>
        </w:tc>
      </w:tr>
    </w:tbl>
    <w:p w14:paraId="4039803B" w14:textId="77777777" w:rsidR="00D278E3" w:rsidRDefault="00D278E3" w:rsidP="00D278E3">
      <w:pPr>
        <w:jc w:val="both"/>
        <w:rPr>
          <w:rFonts w:ascii="Times" w:eastAsia="Times New Roman" w:hAnsi="Times"/>
          <w:color w:val="0070C0"/>
          <w:shd w:val="clear" w:color="auto" w:fill="FFFFFF"/>
        </w:rPr>
      </w:pPr>
      <w:r>
        <w:rPr>
          <w:rFonts w:ascii="Times" w:eastAsia="Times New Roman" w:hAnsi="Times"/>
          <w:color w:val="0070C0"/>
          <w:shd w:val="clear" w:color="auto" w:fill="FFFFFF"/>
        </w:rPr>
        <w:t xml:space="preserve">   </w:t>
      </w:r>
    </w:p>
    <w:p w14:paraId="0E20B236" w14:textId="1BB2DA8D" w:rsidR="00147061" w:rsidRPr="00B74F44" w:rsidRDefault="009A2ED4">
      <w:pPr>
        <w:pStyle w:val="IEEEcaption"/>
        <w:rPr>
          <w:rFonts w:ascii="Times New Roman" w:hAnsi="Times New Roman"/>
          <w:sz w:val="20"/>
        </w:rPr>
      </w:pPr>
      <w:r w:rsidRPr="00B74F44">
        <w:rPr>
          <w:rFonts w:ascii="Times New Roman" w:hAnsi="Times New Roman"/>
          <w:sz w:val="20"/>
        </w:rPr>
        <w:t xml:space="preserve">The best neural network model is the </w:t>
      </w:r>
      <w:r w:rsidR="00544F80" w:rsidRPr="00B74F44">
        <w:rPr>
          <w:rFonts w:ascii="Times New Roman" w:hAnsi="Times New Roman"/>
          <w:sz w:val="20"/>
        </w:rPr>
        <w:t>HP</w:t>
      </w:r>
      <w:r w:rsidRPr="00B74F44">
        <w:rPr>
          <w:rFonts w:ascii="Times New Roman" w:hAnsi="Times New Roman"/>
          <w:sz w:val="20"/>
        </w:rPr>
        <w:t xml:space="preserve"> with early stopping regularization model.  This model achieved a lower MSE value than the preliminary model.  In addition, even though the </w:t>
      </w:r>
      <w:r w:rsidR="00544F80" w:rsidRPr="00B74F44">
        <w:rPr>
          <w:rFonts w:ascii="Times New Roman" w:hAnsi="Times New Roman"/>
          <w:sz w:val="20"/>
        </w:rPr>
        <w:t>HP</w:t>
      </w:r>
      <w:r w:rsidRPr="00B74F44">
        <w:rPr>
          <w:rFonts w:ascii="Times New Roman" w:hAnsi="Times New Roman"/>
          <w:sz w:val="20"/>
        </w:rPr>
        <w:t xml:space="preserve"> without early stopping resulted in a lower MSE, it did not account for overfitting.  The </w:t>
      </w:r>
      <w:r w:rsidR="00544F80" w:rsidRPr="00B74F44">
        <w:rPr>
          <w:rFonts w:ascii="Times New Roman" w:hAnsi="Times New Roman"/>
          <w:sz w:val="20"/>
        </w:rPr>
        <w:t xml:space="preserve">HP </w:t>
      </w:r>
      <w:r w:rsidRPr="00B74F44">
        <w:rPr>
          <w:rFonts w:ascii="Times New Roman" w:hAnsi="Times New Roman"/>
          <w:sz w:val="20"/>
        </w:rPr>
        <w:t xml:space="preserve">with early stopping regularization model </w:t>
      </w:r>
      <w:r w:rsidR="00EF21C7" w:rsidRPr="00B74F44">
        <w:rPr>
          <w:rFonts w:ascii="Times New Roman" w:hAnsi="Times New Roman"/>
          <w:sz w:val="20"/>
        </w:rPr>
        <w:t xml:space="preserve">prevents </w:t>
      </w:r>
      <w:r w:rsidRPr="00B74F44">
        <w:rPr>
          <w:rFonts w:ascii="Times New Roman" w:hAnsi="Times New Roman"/>
          <w:sz w:val="20"/>
        </w:rPr>
        <w:t>overfitting.</w:t>
      </w:r>
    </w:p>
    <w:p w14:paraId="17618C8C" w14:textId="77777777" w:rsidR="00147061" w:rsidRDefault="005009C1">
      <w:pPr>
        <w:pStyle w:val="ListParagraph"/>
        <w:numPr>
          <w:ilvl w:val="0"/>
          <w:numId w:val="4"/>
        </w:numPr>
        <w:spacing w:before="120" w:after="120" w:line="240" w:lineRule="exact"/>
        <w:jc w:val="both"/>
      </w:pPr>
      <w:r>
        <w:rPr>
          <w:i/>
        </w:rPr>
        <w:t>Model</w:t>
      </w:r>
      <w:r>
        <w:t xml:space="preserve"> </w:t>
      </w:r>
      <w:r>
        <w:rPr>
          <w:rFonts w:ascii="Times" w:hAnsi="Times"/>
          <w:i/>
        </w:rPr>
        <w:t>Evaluation</w:t>
      </w:r>
    </w:p>
    <w:p w14:paraId="1459A2EA" w14:textId="4E6A236B" w:rsidR="00147061" w:rsidRPr="008636EE" w:rsidRDefault="00324022">
      <w:pPr>
        <w:pStyle w:val="IEEEpara"/>
      </w:pPr>
      <w:r>
        <w:t>The classical model</w:t>
      </w:r>
      <w:r w:rsidR="00A97D8D">
        <w:t xml:space="preserve"> resulted in a 44% chance of accurately predicting when the draft report would be issued with a MSE of 2583.  In addition, the neural networking model resulted in a MSE of 2422.  Therefore, ne</w:t>
      </w:r>
      <w:r w:rsidR="00EF21C7" w:rsidRPr="00AC2881">
        <w:t>ither</w:t>
      </w:r>
      <w:r w:rsidR="00B74F44" w:rsidRPr="00AC2881">
        <w:t xml:space="preserve"> modeling</w:t>
      </w:r>
      <w:r w:rsidR="00EF21C7" w:rsidRPr="00AC2881">
        <w:t xml:space="preserve"> approach achieved the success criteria of </w:t>
      </w:r>
      <w:r w:rsidR="00B74F44" w:rsidRPr="00AC2881">
        <w:t>predicting when the draft report will be issued to management a</w:t>
      </w:r>
      <w:r w:rsidR="00B74F44">
        <w:t xml:space="preserve">bout 80% of the time.  </w:t>
      </w:r>
      <w:r w:rsidR="00BB461B">
        <w:t xml:space="preserve">However, this project highlighted significant features in predicting when the draft report will be issued.  For example, the office performing the audit was a significant feature.   </w:t>
      </w:r>
      <w:r w:rsidR="00AC2881">
        <w:t xml:space="preserve">Therefore, </w:t>
      </w:r>
      <w:r w:rsidR="00A97D8D">
        <w:t xml:space="preserve">there is a </w:t>
      </w:r>
      <w:r w:rsidR="00A97D8D">
        <w:lastRenderedPageBreak/>
        <w:t xml:space="preserve">relationship between which office </w:t>
      </w:r>
      <w:r w:rsidR="00A97D8D" w:rsidRPr="008636EE">
        <w:t>performs the audit and when th</w:t>
      </w:r>
      <w:r w:rsidR="003E1F3B">
        <w:t xml:space="preserve">e draft report will be issued.  </w:t>
      </w:r>
      <w:r w:rsidR="008B31DC" w:rsidRPr="008636EE">
        <w:t xml:space="preserve">The AFAA can use this </w:t>
      </w:r>
      <w:r w:rsidR="00A97D8D" w:rsidRPr="008636EE">
        <w:t xml:space="preserve">information </w:t>
      </w:r>
      <w:r w:rsidR="008B31DC" w:rsidRPr="008636EE">
        <w:t xml:space="preserve">when building the annual plan to determine the number of audits to include for each office to ensure draft reports are issued timely. </w:t>
      </w:r>
      <w:r w:rsidR="00AC2881" w:rsidRPr="008636EE">
        <w:t xml:space="preserve"> </w:t>
      </w:r>
      <w:r w:rsidR="003E1F3B">
        <w:t xml:space="preserve">In addition, </w:t>
      </w:r>
      <w:r w:rsidR="003E1F3B" w:rsidRPr="003E1F3B">
        <w:t>the report title words of management and military</w:t>
      </w:r>
      <w:r w:rsidR="003E1F3B">
        <w:t xml:space="preserve"> were significant features and had a relationship with the timely of providing the draft report to management.</w:t>
      </w:r>
    </w:p>
    <w:p w14:paraId="3834FBEE" w14:textId="77777777" w:rsidR="00A23755" w:rsidRPr="008636EE" w:rsidRDefault="00A23755" w:rsidP="00A23755">
      <w:pPr>
        <w:pStyle w:val="IEEEpara"/>
      </w:pPr>
      <w:r w:rsidRPr="008636EE">
        <w:t xml:space="preserve">Based on the results from the modeling approaches, the selected input variables did not have a strong relationship in order to predict when the draft report would be issued.  Therefore, other variables may be needed in order to improve the prediction.  In addition, there may be unexplainable variability, such as personnel performance. </w:t>
      </w:r>
    </w:p>
    <w:p w14:paraId="4DCBAC7F" w14:textId="38E68126" w:rsidR="00147061" w:rsidRPr="008636EE" w:rsidRDefault="00427714">
      <w:pPr>
        <w:pStyle w:val="IEEEpara"/>
      </w:pPr>
      <w:r w:rsidRPr="008636EE">
        <w:t xml:space="preserve">The final model selected was the neural networking model with </w:t>
      </w:r>
      <w:r w:rsidR="008B31DC" w:rsidRPr="008636EE">
        <w:t>early stopping regularization.  This model was selected because it achieved the lowest MSE without overfitting the data.</w:t>
      </w:r>
      <w:r w:rsidR="005009C1" w:rsidRPr="008636EE">
        <w:t xml:space="preserve">  </w:t>
      </w:r>
    </w:p>
    <w:p w14:paraId="76A8E1C9" w14:textId="77A59F3A" w:rsidR="00147061" w:rsidRDefault="00A23755">
      <w:pPr>
        <w:pStyle w:val="IEEEpara"/>
      </w:pPr>
      <w:r w:rsidRPr="008636EE">
        <w:t>The HP sweep model achieved the lowest MSE compared to all the other models.  However, the model was overfitting the dataset (see Fig. 7).</w:t>
      </w:r>
    </w:p>
    <w:p w14:paraId="27DA6630" w14:textId="77777777" w:rsidR="0086062F" w:rsidRPr="008636EE" w:rsidRDefault="0086062F">
      <w:pPr>
        <w:pStyle w:val="IEEEpara"/>
      </w:pPr>
    </w:p>
    <w:p w14:paraId="47EAC9F0" w14:textId="0C6808FA" w:rsidR="00147061" w:rsidRPr="008636EE" w:rsidRDefault="006A12AD" w:rsidP="006A12AD">
      <w:r w:rsidRPr="008636EE">
        <w:rPr>
          <w:noProof/>
        </w:rPr>
        <w:drawing>
          <wp:inline distT="0" distB="0" distL="0" distR="0" wp14:anchorId="0E2D07BC" wp14:editId="5A1A83F0">
            <wp:extent cx="2727297" cy="18023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 HP Model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4479" cy="1807049"/>
                    </a:xfrm>
                    <a:prstGeom prst="rect">
                      <a:avLst/>
                    </a:prstGeom>
                  </pic:spPr>
                </pic:pic>
              </a:graphicData>
            </a:graphic>
          </wp:inline>
        </w:drawing>
      </w:r>
    </w:p>
    <w:p w14:paraId="1551E803" w14:textId="4AF7002E" w:rsidR="00147061" w:rsidRPr="008636EE" w:rsidRDefault="00A23755">
      <w:pPr>
        <w:pStyle w:val="IEEEcaption"/>
        <w:rPr>
          <w:color w:val="auto"/>
        </w:rPr>
      </w:pPr>
      <w:r w:rsidRPr="008636EE">
        <w:rPr>
          <w:color w:val="auto"/>
        </w:rPr>
        <w:t>Fig. 7</w:t>
      </w:r>
      <w:r w:rsidR="005009C1" w:rsidRPr="008636EE">
        <w:rPr>
          <w:color w:val="auto"/>
        </w:rPr>
        <w:t>. Neural network overfitting the dataset.</w:t>
      </w:r>
    </w:p>
    <w:p w14:paraId="023E7D2E" w14:textId="77777777" w:rsidR="00147061" w:rsidRPr="008636EE" w:rsidRDefault="00147061"/>
    <w:p w14:paraId="32550921" w14:textId="10A9EDEB" w:rsidR="00147061" w:rsidRPr="008636EE" w:rsidRDefault="005009C1">
      <w:r w:rsidRPr="008636EE">
        <w:t xml:space="preserve">     </w:t>
      </w:r>
      <w:r w:rsidR="00434893" w:rsidRPr="008636EE">
        <w:t>In order to prevent from overfitting the dataset.  The early stopping regularization technique was included in the HP sweep.  The early sto</w:t>
      </w:r>
      <w:r w:rsidR="00C80128" w:rsidRPr="008636EE">
        <w:t>pping regularization technique contained</w:t>
      </w:r>
      <w:r w:rsidR="00434893" w:rsidRPr="008636EE">
        <w:t xml:space="preserve"> a 15 epoch patience setting to reduce the amount of overfitting. The results are shown in Fig.</w:t>
      </w:r>
      <w:r w:rsidRPr="008636EE">
        <w:t xml:space="preserve"> </w:t>
      </w:r>
      <w:r w:rsidR="00434893" w:rsidRPr="008636EE">
        <w:t>8</w:t>
      </w:r>
      <w:r w:rsidRPr="008636EE">
        <w:t>.</w:t>
      </w:r>
    </w:p>
    <w:p w14:paraId="034C1268" w14:textId="3FC77814" w:rsidR="00147061" w:rsidRDefault="00147061"/>
    <w:p w14:paraId="6256784C" w14:textId="77777777" w:rsidR="00C17E12" w:rsidRPr="008636EE" w:rsidRDefault="00C17E12"/>
    <w:p w14:paraId="70F3F872" w14:textId="77777777" w:rsidR="00434893" w:rsidRPr="008636EE" w:rsidRDefault="00434893" w:rsidP="00434893">
      <w:r w:rsidRPr="008636EE">
        <w:rPr>
          <w:noProof/>
        </w:rPr>
        <w:drawing>
          <wp:inline distT="0" distB="0" distL="0" distR="0" wp14:anchorId="573F81BE" wp14:editId="097C701C">
            <wp:extent cx="2724912" cy="18007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 HP Sweep Model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4912" cy="1800727"/>
                    </a:xfrm>
                    <a:prstGeom prst="rect">
                      <a:avLst/>
                    </a:prstGeom>
                  </pic:spPr>
                </pic:pic>
              </a:graphicData>
            </a:graphic>
          </wp:inline>
        </w:drawing>
      </w:r>
    </w:p>
    <w:p w14:paraId="565F6F54" w14:textId="264534B3" w:rsidR="00147061" w:rsidRPr="008636EE" w:rsidRDefault="00434893" w:rsidP="00434893">
      <w:pPr>
        <w:ind w:firstLine="180"/>
        <w:rPr>
          <w:sz w:val="18"/>
          <w:szCs w:val="18"/>
        </w:rPr>
      </w:pPr>
      <w:r w:rsidRPr="008636EE">
        <w:rPr>
          <w:sz w:val="18"/>
          <w:szCs w:val="18"/>
        </w:rPr>
        <w:t>Fig.</w:t>
      </w:r>
      <w:r w:rsidR="005009C1" w:rsidRPr="008636EE">
        <w:rPr>
          <w:sz w:val="18"/>
          <w:szCs w:val="18"/>
        </w:rPr>
        <w:t xml:space="preserve"> </w:t>
      </w:r>
      <w:r w:rsidRPr="008636EE">
        <w:rPr>
          <w:sz w:val="18"/>
          <w:szCs w:val="18"/>
        </w:rPr>
        <w:t>8</w:t>
      </w:r>
      <w:r w:rsidR="005009C1" w:rsidRPr="008636EE">
        <w:rPr>
          <w:sz w:val="18"/>
          <w:szCs w:val="18"/>
        </w:rPr>
        <w:t xml:space="preserve">. Overfitting corrected by </w:t>
      </w:r>
      <w:r w:rsidRPr="008636EE">
        <w:rPr>
          <w:sz w:val="18"/>
          <w:szCs w:val="18"/>
        </w:rPr>
        <w:t>early stopping</w:t>
      </w:r>
      <w:r w:rsidR="005009C1" w:rsidRPr="008636EE">
        <w:rPr>
          <w:sz w:val="18"/>
          <w:szCs w:val="18"/>
        </w:rPr>
        <w:t>.</w:t>
      </w:r>
    </w:p>
    <w:p w14:paraId="48036B41" w14:textId="77777777" w:rsidR="00EF3EA5" w:rsidRPr="008636EE" w:rsidRDefault="00EF3EA5" w:rsidP="00434893">
      <w:pPr>
        <w:ind w:firstLine="180"/>
        <w:rPr>
          <w:sz w:val="18"/>
          <w:szCs w:val="18"/>
        </w:rPr>
      </w:pPr>
    </w:p>
    <w:p w14:paraId="6A1B71EA" w14:textId="77777777" w:rsidR="00C80128" w:rsidRPr="008636EE" w:rsidRDefault="00C80128" w:rsidP="00434893">
      <w:pPr>
        <w:ind w:firstLine="180"/>
        <w:rPr>
          <w:sz w:val="18"/>
          <w:szCs w:val="18"/>
        </w:rPr>
      </w:pPr>
    </w:p>
    <w:p w14:paraId="53DBA912" w14:textId="77777777" w:rsidR="00147061" w:rsidRPr="008636EE" w:rsidRDefault="005009C1">
      <w:pPr>
        <w:pStyle w:val="ListParagraph"/>
        <w:numPr>
          <w:ilvl w:val="0"/>
          <w:numId w:val="4"/>
        </w:numPr>
        <w:spacing w:before="120" w:after="120" w:line="240" w:lineRule="exact"/>
        <w:jc w:val="both"/>
        <w:rPr>
          <w:rFonts w:ascii="Times" w:hAnsi="Times"/>
          <w:i/>
        </w:rPr>
      </w:pPr>
      <w:r w:rsidRPr="008636EE">
        <w:rPr>
          <w:i/>
        </w:rPr>
        <w:t>Model Application (a.k.a. deployment)</w:t>
      </w:r>
      <w:r w:rsidRPr="008636EE">
        <w:rPr>
          <w:rFonts w:ascii="Times" w:hAnsi="Times"/>
          <w:i/>
        </w:rPr>
        <w:t xml:space="preserve">  </w:t>
      </w:r>
    </w:p>
    <w:p w14:paraId="0F2E545A" w14:textId="77777777" w:rsidR="008636EE" w:rsidRDefault="008636EE" w:rsidP="008636EE">
      <w:pPr>
        <w:spacing w:before="120" w:after="120"/>
        <w:ind w:firstLine="180"/>
        <w:jc w:val="both"/>
        <w:rPr>
          <w:rFonts w:eastAsia="Times New Roman"/>
        </w:rPr>
      </w:pPr>
      <w:r w:rsidRPr="008636EE">
        <w:rPr>
          <w:rFonts w:eastAsia="Times New Roman"/>
          <w:color w:val="000000"/>
        </w:rPr>
        <w:t>Two different</w:t>
      </w:r>
      <w:r w:rsidRPr="004C226F">
        <w:rPr>
          <w:rFonts w:eastAsia="Times New Roman"/>
          <w:color w:val="000000"/>
        </w:rPr>
        <w:t xml:space="preserve"> models were used </w:t>
      </w:r>
      <w:r w:rsidRPr="008636EE">
        <w:rPr>
          <w:rFonts w:eastAsia="Times New Roman"/>
          <w:color w:val="000000"/>
        </w:rPr>
        <w:t>to</w:t>
      </w:r>
      <w:r w:rsidRPr="004C226F">
        <w:rPr>
          <w:rFonts w:eastAsia="Times New Roman"/>
          <w:color w:val="000000"/>
        </w:rPr>
        <w:t xml:space="preserve"> determine if</w:t>
      </w:r>
      <w:r w:rsidRPr="008636EE">
        <w:rPr>
          <w:rFonts w:eastAsia="Times New Roman"/>
          <w:color w:val="000000"/>
        </w:rPr>
        <w:t xml:space="preserve"> a</w:t>
      </w:r>
      <w:r w:rsidRPr="004C226F">
        <w:rPr>
          <w:rFonts w:eastAsia="Times New Roman"/>
          <w:color w:val="000000"/>
        </w:rPr>
        <w:t xml:space="preserve"> model </w:t>
      </w:r>
      <w:r w:rsidRPr="008636EE">
        <w:rPr>
          <w:rFonts w:eastAsia="Times New Roman"/>
          <w:color w:val="000000"/>
        </w:rPr>
        <w:t xml:space="preserve">could </w:t>
      </w:r>
      <w:r w:rsidRPr="004C226F">
        <w:rPr>
          <w:rFonts w:eastAsia="Times New Roman"/>
          <w:color w:val="000000"/>
        </w:rPr>
        <w:t>predict when the draft report would be provided to management</w:t>
      </w:r>
      <w:r w:rsidRPr="008636EE">
        <w:rPr>
          <w:rFonts w:eastAsia="Times New Roman"/>
          <w:color w:val="000000"/>
        </w:rPr>
        <w:t xml:space="preserve"> from a </w:t>
      </w:r>
      <w:r w:rsidRPr="004C226F">
        <w:rPr>
          <w:rFonts w:eastAsia="Times New Roman"/>
          <w:color w:val="000000"/>
        </w:rPr>
        <w:t>completed audit</w:t>
      </w:r>
      <w:r w:rsidRPr="008636EE">
        <w:rPr>
          <w:rFonts w:eastAsia="Times New Roman"/>
          <w:color w:val="000000"/>
        </w:rPr>
        <w:t>s dataset</w:t>
      </w:r>
      <w:r w:rsidRPr="004C226F">
        <w:rPr>
          <w:rFonts w:eastAsia="Times New Roman"/>
          <w:color w:val="000000"/>
        </w:rPr>
        <w:t>.   </w:t>
      </w:r>
    </w:p>
    <w:p w14:paraId="4511AEF6" w14:textId="3BED06E5" w:rsidR="008636EE" w:rsidRPr="004C226F" w:rsidRDefault="008636EE" w:rsidP="008636EE">
      <w:pPr>
        <w:spacing w:before="120" w:after="120"/>
        <w:ind w:firstLine="180"/>
        <w:jc w:val="both"/>
        <w:rPr>
          <w:rFonts w:eastAsia="Times New Roman"/>
        </w:rPr>
      </w:pPr>
      <w:r w:rsidRPr="004C226F">
        <w:rPr>
          <w:rFonts w:eastAsia="Times New Roman"/>
          <w:color w:val="000000"/>
        </w:rPr>
        <w:t>Overall, the classical model resulted in a 44% chance of accurately predicting when the draft report would be issued with a MSE of 2583.  In addition, the neural networking model resulted in a MSE of 2422.  Therefore, neither modeling approach achieved the success criteria of predicting when the draft report will be issued to management about 80% of the time. </w:t>
      </w:r>
    </w:p>
    <w:p w14:paraId="78C26F1F" w14:textId="31133866" w:rsidR="008636EE" w:rsidRPr="008636EE" w:rsidRDefault="008636EE" w:rsidP="008636EE">
      <w:pPr>
        <w:pStyle w:val="IEEEBullet"/>
        <w:numPr>
          <w:ilvl w:val="0"/>
          <w:numId w:val="1"/>
        </w:numPr>
        <w:spacing w:before="120" w:after="120"/>
      </w:pPr>
      <w:r w:rsidRPr="008636EE">
        <w:rPr>
          <w:rFonts w:ascii="Times New Roman" w:eastAsia="Times New Roman" w:hAnsi="Times New Roman"/>
          <w:color w:val="000000"/>
        </w:rPr>
        <w:t>Qualitative applications: </w:t>
      </w:r>
    </w:p>
    <w:p w14:paraId="3BA2AC80" w14:textId="77777777" w:rsidR="008636EE" w:rsidRPr="008636EE" w:rsidRDefault="008636EE" w:rsidP="008636EE">
      <w:pPr>
        <w:pStyle w:val="IEEEBullet"/>
        <w:numPr>
          <w:ilvl w:val="1"/>
          <w:numId w:val="1"/>
        </w:numPr>
        <w:spacing w:before="120" w:after="120"/>
        <w:rPr>
          <w:rFonts w:ascii="Times New Roman" w:hAnsi="Times New Roman"/>
        </w:rPr>
      </w:pPr>
      <w:r w:rsidRPr="008636EE">
        <w:rPr>
          <w:rFonts w:ascii="Times New Roman" w:eastAsia="Times New Roman" w:hAnsi="Times New Roman"/>
          <w:color w:val="000000"/>
        </w:rPr>
        <w:t>The neural network work model provided the best prediction.  However, the classical modeling highlighted significant features in predicting when the draft report will be issued.  </w:t>
      </w:r>
    </w:p>
    <w:p w14:paraId="469FDE17" w14:textId="116E2238" w:rsidR="008636EE" w:rsidRPr="008636EE" w:rsidRDefault="008636EE" w:rsidP="00C17E12">
      <w:pPr>
        <w:pStyle w:val="IEEEBullet"/>
        <w:numPr>
          <w:ilvl w:val="1"/>
          <w:numId w:val="1"/>
        </w:numPr>
        <w:spacing w:before="120" w:after="120"/>
        <w:rPr>
          <w:rFonts w:ascii="Times New Roman" w:hAnsi="Times New Roman"/>
        </w:rPr>
      </w:pPr>
      <w:r w:rsidRPr="008636EE">
        <w:rPr>
          <w:rFonts w:ascii="Times New Roman" w:eastAsia="Times New Roman" w:hAnsi="Times New Roman"/>
          <w:color w:val="000000"/>
        </w:rPr>
        <w:t>For example, the project determined there was a relationship between which office performs the audit and when the draft report will be issued.  </w:t>
      </w:r>
      <w:r w:rsidR="00C17E12">
        <w:rPr>
          <w:rFonts w:ascii="Times New Roman" w:eastAsia="Times New Roman" w:hAnsi="Times New Roman"/>
          <w:color w:val="000000"/>
        </w:rPr>
        <w:t xml:space="preserve">There was also a relationship between the </w:t>
      </w:r>
      <w:r w:rsidR="00C17E12" w:rsidRPr="00C17E12">
        <w:rPr>
          <w:rFonts w:ascii="Times New Roman" w:eastAsia="Times New Roman" w:hAnsi="Times New Roman"/>
          <w:color w:val="000000"/>
        </w:rPr>
        <w:t>report title words of management and military</w:t>
      </w:r>
      <w:r w:rsidR="00C17E12">
        <w:rPr>
          <w:rFonts w:ascii="Times New Roman" w:eastAsia="Times New Roman" w:hAnsi="Times New Roman"/>
          <w:color w:val="000000"/>
        </w:rPr>
        <w:t xml:space="preserve"> and when the draft report will be issued.</w:t>
      </w:r>
    </w:p>
    <w:p w14:paraId="0F1A9380" w14:textId="6E712C52" w:rsidR="008636EE" w:rsidRPr="008636EE" w:rsidRDefault="008636EE" w:rsidP="008636EE">
      <w:pPr>
        <w:pStyle w:val="IEEEBullet"/>
        <w:numPr>
          <w:ilvl w:val="1"/>
          <w:numId w:val="1"/>
        </w:numPr>
        <w:spacing w:before="120" w:after="120"/>
        <w:rPr>
          <w:rFonts w:ascii="Times New Roman" w:hAnsi="Times New Roman"/>
        </w:rPr>
      </w:pPr>
      <w:r w:rsidRPr="008636EE">
        <w:rPr>
          <w:rFonts w:ascii="Times New Roman" w:eastAsia="Times New Roman" w:hAnsi="Times New Roman"/>
          <w:color w:val="000000"/>
        </w:rPr>
        <w:t xml:space="preserve">In addition, a variable that should have been included was the tenure of the auditors or the number of completed audits.  </w:t>
      </w:r>
      <w:r w:rsidR="0086062F">
        <w:rPr>
          <w:rFonts w:ascii="Times New Roman" w:eastAsia="Times New Roman" w:hAnsi="Times New Roman"/>
          <w:color w:val="000000"/>
        </w:rPr>
        <w:t xml:space="preserve">Further, the model should have included a variable for the number of personnel performing the audit.  </w:t>
      </w:r>
      <w:r w:rsidRPr="008636EE">
        <w:rPr>
          <w:rFonts w:ascii="Times New Roman" w:eastAsia="Times New Roman" w:hAnsi="Times New Roman"/>
          <w:color w:val="000000"/>
        </w:rPr>
        <w:t>Adjusting the model to include these data points should improve the accuracy.</w:t>
      </w:r>
    </w:p>
    <w:p w14:paraId="19C158CD" w14:textId="77777777" w:rsidR="008636EE" w:rsidRPr="008636EE" w:rsidRDefault="008636EE" w:rsidP="008636EE">
      <w:pPr>
        <w:pStyle w:val="ListParagraph"/>
        <w:numPr>
          <w:ilvl w:val="0"/>
          <w:numId w:val="1"/>
        </w:numPr>
        <w:spacing w:before="120" w:after="120"/>
        <w:jc w:val="both"/>
        <w:rPr>
          <w:rFonts w:eastAsia="Times New Roman"/>
          <w:color w:val="000000"/>
        </w:rPr>
      </w:pPr>
      <w:r w:rsidRPr="008636EE">
        <w:rPr>
          <w:rFonts w:eastAsia="Times New Roman"/>
          <w:color w:val="000000"/>
        </w:rPr>
        <w:t>Quantitative applications: </w:t>
      </w:r>
    </w:p>
    <w:p w14:paraId="2B03C945" w14:textId="77777777" w:rsidR="008636EE" w:rsidRPr="008636EE" w:rsidRDefault="008636EE" w:rsidP="008636EE">
      <w:pPr>
        <w:pStyle w:val="ListParagraph"/>
        <w:numPr>
          <w:ilvl w:val="1"/>
          <w:numId w:val="1"/>
        </w:numPr>
        <w:spacing w:before="120" w:after="120"/>
        <w:jc w:val="both"/>
        <w:rPr>
          <w:rFonts w:eastAsia="Times New Roman"/>
          <w:color w:val="000000"/>
        </w:rPr>
      </w:pPr>
      <w:r w:rsidRPr="008636EE">
        <w:rPr>
          <w:rFonts w:eastAsia="Times New Roman"/>
          <w:color w:val="000000"/>
        </w:rPr>
        <w:t xml:space="preserve">The current model could assist AFAA management on where to assign Air Force management requested audits during the annual audit plan development.  Also, if an audit is requested by management with a short deadline, using the model to select </w:t>
      </w:r>
      <w:r w:rsidRPr="008636EE">
        <w:rPr>
          <w:rFonts w:eastAsia="Times New Roman"/>
          <w:color w:val="000000"/>
        </w:rPr>
        <w:lastRenderedPageBreak/>
        <w:t>the office to perform the audit can help ensure a timely results to Air Force management.</w:t>
      </w:r>
    </w:p>
    <w:p w14:paraId="5DC4ED54" w14:textId="77777777" w:rsidR="008636EE" w:rsidRPr="008636EE" w:rsidRDefault="008636EE" w:rsidP="008636EE">
      <w:pPr>
        <w:pStyle w:val="ListParagraph"/>
        <w:numPr>
          <w:ilvl w:val="1"/>
          <w:numId w:val="1"/>
        </w:numPr>
        <w:spacing w:before="120" w:after="120"/>
        <w:jc w:val="both"/>
        <w:rPr>
          <w:rFonts w:eastAsia="Times New Roman"/>
          <w:color w:val="000000"/>
        </w:rPr>
      </w:pPr>
      <w:r w:rsidRPr="008636EE">
        <w:rPr>
          <w:rFonts w:eastAsia="Times New Roman"/>
          <w:color w:val="000000"/>
        </w:rPr>
        <w:t>The mission of AFAA is deliver timely, relevant, and quality audit services. Not providing timely audit results could result in outdated recommendations that are no longer relevant or no longer a current issue. Additionally, providing timely and relevant audit results allows clients to implement process improvements to achieve a healthier outcome and provide better mission support to the Air Force.</w:t>
      </w:r>
    </w:p>
    <w:p w14:paraId="7F710A2F" w14:textId="42547024" w:rsidR="00EF3EA5" w:rsidRPr="002916A5" w:rsidRDefault="008636EE" w:rsidP="002916A5">
      <w:pPr>
        <w:pStyle w:val="ListParagraph"/>
        <w:numPr>
          <w:ilvl w:val="1"/>
          <w:numId w:val="1"/>
        </w:numPr>
        <w:spacing w:before="120" w:after="120"/>
        <w:jc w:val="both"/>
        <w:rPr>
          <w:rFonts w:eastAsia="Times New Roman"/>
          <w:color w:val="000000"/>
        </w:rPr>
      </w:pPr>
      <w:r w:rsidRPr="008636EE">
        <w:rPr>
          <w:rFonts w:eastAsia="Times New Roman"/>
          <w:color w:val="000000"/>
        </w:rPr>
        <w:t>Using the model to predict when the draft report will be provided to management can be utilized to determine manpower requirements.  For example, does AFAA have the necessary manpower to perform the audits in the annual plan?</w:t>
      </w:r>
    </w:p>
    <w:p w14:paraId="47C84DB6" w14:textId="77777777" w:rsidR="00147061" w:rsidRPr="00F3435C" w:rsidRDefault="005009C1">
      <w:pPr>
        <w:pStyle w:val="Heading3"/>
        <w:spacing w:before="360" w:after="120" w:line="240" w:lineRule="exact"/>
        <w:rPr>
          <w:rFonts w:ascii="Times" w:hAnsi="Times"/>
          <w:b w:val="0"/>
          <w:smallCaps/>
          <w:sz w:val="20"/>
        </w:rPr>
      </w:pPr>
      <w:r w:rsidRPr="00F3435C">
        <w:rPr>
          <w:rFonts w:ascii="Times" w:hAnsi="Times"/>
          <w:b w:val="0"/>
          <w:smallCaps/>
          <w:sz w:val="20"/>
        </w:rPr>
        <w:t>IV. Conclusion</w:t>
      </w:r>
    </w:p>
    <w:p w14:paraId="1F3F8C60" w14:textId="5313C1DC" w:rsidR="00147061" w:rsidRPr="00F3435C" w:rsidRDefault="00F3435C">
      <w:pPr>
        <w:pStyle w:val="IEEEpara"/>
      </w:pPr>
      <w:r w:rsidRPr="00F3435C">
        <w:t>Overall, the classical model resulted in a 44% chance of accurately predicting when the draft report would be issued with a MSE of 2583.  In addition, the neural networking model resulted in a MSE of 2422.  Therefore, neither modeling approach achieved the success criteria of predicting when the draft report will be issued to management about 80% of the time.  However, this project highlighted significant features in predicting when the draft report will be issued such as the office performing the audit</w:t>
      </w:r>
      <w:r w:rsidR="00C17E12">
        <w:t xml:space="preserve"> and</w:t>
      </w:r>
      <w:r w:rsidR="00C17E12" w:rsidRPr="00C17E12">
        <w:t xml:space="preserve"> the report title words of management and military</w:t>
      </w:r>
      <w:r w:rsidRPr="00F3435C">
        <w:t xml:space="preserve">.  Therefore, there is a relationship between which office performs the audit and when the draft report will be issued.  The AFAA can use this information when building the annual plan to determine the number of audits to include for </w:t>
      </w:r>
      <w:r w:rsidRPr="00F3435C">
        <w:t>each office to ensure draft reports are issued timely.  In addition, one of the variables that should have been included is the number of audits the auditor had performed.  Senior auditors should complete audits within goals versus new auditors.</w:t>
      </w:r>
      <w:r w:rsidR="00012E42">
        <w:t xml:space="preserve">  </w:t>
      </w:r>
      <w:r w:rsidR="00012E42">
        <w:rPr>
          <w:rFonts w:eastAsia="Times New Roman"/>
          <w:color w:val="000000"/>
        </w:rPr>
        <w:t>Further, the model should have included a variable for the number of personnel performing the audit.</w:t>
      </w:r>
      <w:r w:rsidR="00012E42">
        <w:t xml:space="preserve">  Consequently, adding these</w:t>
      </w:r>
      <w:r w:rsidRPr="00F3435C">
        <w:t xml:space="preserve"> variable</w:t>
      </w:r>
      <w:r w:rsidR="00012E42">
        <w:t>s</w:t>
      </w:r>
      <w:r w:rsidRPr="00F3435C">
        <w:t xml:space="preserve"> may improve the model in predicting when the draft report will be issued.</w:t>
      </w:r>
    </w:p>
    <w:p w14:paraId="39BEFE59" w14:textId="6F3061B7" w:rsidR="0086062F" w:rsidRDefault="0086062F">
      <w:pPr>
        <w:pStyle w:val="IEEEpara"/>
      </w:pPr>
    </w:p>
    <w:p w14:paraId="2E218AF7" w14:textId="3C5EFECD" w:rsidR="0086062F" w:rsidRDefault="0086062F">
      <w:pPr>
        <w:pStyle w:val="IEEEpara"/>
      </w:pPr>
    </w:p>
    <w:p w14:paraId="2361E3A1" w14:textId="7D665334" w:rsidR="002916A5" w:rsidRDefault="002916A5">
      <w:pPr>
        <w:pStyle w:val="IEEEpara"/>
      </w:pPr>
    </w:p>
    <w:p w14:paraId="5992E92D" w14:textId="3B35E68C" w:rsidR="002916A5" w:rsidRDefault="002916A5">
      <w:pPr>
        <w:pStyle w:val="IEEEpara"/>
      </w:pPr>
    </w:p>
    <w:p w14:paraId="1DDA5D28" w14:textId="5D348845" w:rsidR="002916A5" w:rsidRDefault="002916A5">
      <w:pPr>
        <w:pStyle w:val="IEEEpara"/>
      </w:pPr>
    </w:p>
    <w:p w14:paraId="435C9682" w14:textId="5206D217" w:rsidR="002916A5" w:rsidRDefault="002916A5">
      <w:pPr>
        <w:pStyle w:val="IEEEpara"/>
      </w:pPr>
    </w:p>
    <w:p w14:paraId="6AB6A687" w14:textId="7C1F71A4" w:rsidR="002916A5" w:rsidRDefault="002916A5">
      <w:pPr>
        <w:pStyle w:val="IEEEpara"/>
      </w:pPr>
    </w:p>
    <w:p w14:paraId="5D57904B" w14:textId="034786DC" w:rsidR="002916A5" w:rsidRDefault="002916A5">
      <w:pPr>
        <w:pStyle w:val="IEEEpara"/>
      </w:pPr>
    </w:p>
    <w:p w14:paraId="6A0D51D4" w14:textId="1C091CCB" w:rsidR="002916A5" w:rsidRDefault="002916A5">
      <w:pPr>
        <w:pStyle w:val="IEEEpara"/>
      </w:pPr>
    </w:p>
    <w:p w14:paraId="24A25C02" w14:textId="77777777" w:rsidR="002916A5" w:rsidRDefault="002916A5">
      <w:pPr>
        <w:pStyle w:val="IEEEpara"/>
      </w:pPr>
    </w:p>
    <w:p w14:paraId="7C1D20BA" w14:textId="047D6E18" w:rsidR="002916A5" w:rsidRDefault="002916A5">
      <w:pPr>
        <w:pStyle w:val="IEEEpara"/>
      </w:pPr>
    </w:p>
    <w:p w14:paraId="5AF53F32" w14:textId="0D864F03" w:rsidR="002916A5" w:rsidRDefault="002916A5">
      <w:pPr>
        <w:pStyle w:val="IEEEpara"/>
      </w:pPr>
    </w:p>
    <w:p w14:paraId="7491E481" w14:textId="1BF80E78" w:rsidR="002916A5" w:rsidRDefault="002916A5">
      <w:pPr>
        <w:pStyle w:val="IEEEpara"/>
      </w:pPr>
    </w:p>
    <w:p w14:paraId="164FD0C3" w14:textId="0F08810A" w:rsidR="002916A5" w:rsidRDefault="002916A5">
      <w:pPr>
        <w:pStyle w:val="IEEEpara"/>
      </w:pPr>
    </w:p>
    <w:p w14:paraId="544B18F3" w14:textId="77777777" w:rsidR="002916A5" w:rsidRPr="00434893" w:rsidRDefault="002916A5">
      <w:pPr>
        <w:pStyle w:val="IEEEpara"/>
      </w:pPr>
    </w:p>
    <w:p w14:paraId="612B5038" w14:textId="77777777" w:rsidR="00147061" w:rsidRPr="00434893" w:rsidRDefault="00147061">
      <w:pPr>
        <w:pStyle w:val="IEEEpara"/>
      </w:pPr>
    </w:p>
    <w:p w14:paraId="55B156A6" w14:textId="60090495" w:rsidR="00147061" w:rsidRDefault="00147061">
      <w:pPr>
        <w:pStyle w:val="IEEEpara"/>
      </w:pPr>
    </w:p>
    <w:p w14:paraId="5501ADF5" w14:textId="77777777" w:rsidR="002916A5" w:rsidRPr="00434893" w:rsidRDefault="002916A5">
      <w:pPr>
        <w:pStyle w:val="IEEEpara"/>
      </w:pPr>
    </w:p>
    <w:p w14:paraId="0F560423" w14:textId="77777777" w:rsidR="00147061" w:rsidRPr="00434893" w:rsidRDefault="00147061">
      <w:pPr>
        <w:sectPr w:rsidR="00147061" w:rsidRPr="00434893">
          <w:type w:val="continuous"/>
          <w:pgSz w:w="12240" w:h="15840"/>
          <w:pgMar w:top="1080" w:right="907" w:bottom="1440" w:left="907" w:header="0" w:footer="0" w:gutter="0"/>
          <w:cols w:num="2" w:space="360"/>
          <w:formProt w:val="0"/>
          <w:docGrid w:linePitch="100" w:charSpace="8192"/>
        </w:sectPr>
      </w:pPr>
    </w:p>
    <w:p w14:paraId="2124E16F" w14:textId="77777777" w:rsidR="00147061" w:rsidRDefault="005009C1">
      <w:pPr>
        <w:pStyle w:val="Heading3"/>
        <w:spacing w:before="360" w:after="120" w:line="240" w:lineRule="exact"/>
        <w:rPr>
          <w:rFonts w:ascii="Times" w:hAnsi="Times"/>
          <w:b w:val="0"/>
          <w:smallCaps/>
          <w:sz w:val="20"/>
        </w:rPr>
      </w:pPr>
      <w:r>
        <w:rPr>
          <w:rFonts w:ascii="Times" w:hAnsi="Times"/>
          <w:b w:val="0"/>
          <w:smallCaps/>
          <w:sz w:val="20"/>
        </w:rPr>
        <w:t>References</w:t>
      </w:r>
    </w:p>
    <w:p w14:paraId="1EE91CD8" w14:textId="77777777" w:rsidR="00147061" w:rsidRDefault="005009C1">
      <w:r>
        <w:t>Note to instructor: I am using the Word bibliography tool.</w:t>
      </w:r>
    </w:p>
    <w:p w14:paraId="2543A370" w14:textId="77777777" w:rsidR="00BB602C" w:rsidRDefault="005009C1" w:rsidP="00C25903">
      <w:pPr>
        <w:pStyle w:val="IEEEpara"/>
        <w:ind w:firstLine="0"/>
        <w:rPr>
          <w:noProof/>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10017"/>
      </w:tblGrid>
      <w:tr w:rsidR="00BB602C" w14:paraId="714DEAAA" w14:textId="77777777">
        <w:trPr>
          <w:divId w:val="539319277"/>
          <w:tblCellSpacing w:w="15" w:type="dxa"/>
        </w:trPr>
        <w:tc>
          <w:tcPr>
            <w:tcW w:w="50" w:type="pct"/>
            <w:hideMark/>
          </w:tcPr>
          <w:p w14:paraId="42F32408" w14:textId="7103438E" w:rsidR="00BB602C" w:rsidRDefault="00BB602C">
            <w:pPr>
              <w:pStyle w:val="Bibliography"/>
              <w:rPr>
                <w:noProof/>
                <w:sz w:val="24"/>
                <w:szCs w:val="24"/>
              </w:rPr>
            </w:pPr>
            <w:r>
              <w:rPr>
                <w:noProof/>
              </w:rPr>
              <w:t xml:space="preserve">[1] </w:t>
            </w:r>
          </w:p>
        </w:tc>
        <w:tc>
          <w:tcPr>
            <w:tcW w:w="0" w:type="auto"/>
            <w:hideMark/>
          </w:tcPr>
          <w:p w14:paraId="04BA11EA" w14:textId="77777777" w:rsidR="00BB602C" w:rsidRDefault="00BB602C">
            <w:pPr>
              <w:pStyle w:val="Bibliography"/>
              <w:rPr>
                <w:noProof/>
              </w:rPr>
            </w:pPr>
            <w:r>
              <w:rPr>
                <w:noProof/>
              </w:rPr>
              <w:t>Air Force Audit Agency, "Internal Audit Services, AFI65-301," Office of Headquarters Financial Management, Washington, D.C., 2018.</w:t>
            </w:r>
          </w:p>
        </w:tc>
      </w:tr>
      <w:tr w:rsidR="00BB602C" w14:paraId="1E723071" w14:textId="77777777">
        <w:trPr>
          <w:divId w:val="539319277"/>
          <w:tblCellSpacing w:w="15" w:type="dxa"/>
        </w:trPr>
        <w:tc>
          <w:tcPr>
            <w:tcW w:w="50" w:type="pct"/>
            <w:hideMark/>
          </w:tcPr>
          <w:p w14:paraId="55305F7D" w14:textId="77777777" w:rsidR="00BB602C" w:rsidRDefault="00BB602C">
            <w:pPr>
              <w:pStyle w:val="Bibliography"/>
              <w:rPr>
                <w:noProof/>
              </w:rPr>
            </w:pPr>
            <w:r>
              <w:rPr>
                <w:noProof/>
              </w:rPr>
              <w:t xml:space="preserve">[2] </w:t>
            </w:r>
          </w:p>
        </w:tc>
        <w:tc>
          <w:tcPr>
            <w:tcW w:w="0" w:type="auto"/>
            <w:hideMark/>
          </w:tcPr>
          <w:p w14:paraId="3BCC0F42" w14:textId="77777777" w:rsidR="00BB602C" w:rsidRDefault="00BB602C">
            <w:pPr>
              <w:pStyle w:val="Bibliography"/>
              <w:rPr>
                <w:noProof/>
              </w:rPr>
            </w:pPr>
            <w:r>
              <w:rPr>
                <w:noProof/>
              </w:rPr>
              <w:t>Comptroller General of the United States, "Government Auditing Standards: 2018 Revision Technical Update April 2021," U.S Government Accountability Office, Washington, DC, 2021.</w:t>
            </w:r>
          </w:p>
        </w:tc>
      </w:tr>
      <w:tr w:rsidR="00BB602C" w14:paraId="1C50E6AC" w14:textId="77777777">
        <w:trPr>
          <w:divId w:val="539319277"/>
          <w:tblCellSpacing w:w="15" w:type="dxa"/>
        </w:trPr>
        <w:tc>
          <w:tcPr>
            <w:tcW w:w="50" w:type="pct"/>
            <w:hideMark/>
          </w:tcPr>
          <w:p w14:paraId="1DB9343F" w14:textId="77777777" w:rsidR="00BB602C" w:rsidRDefault="00BB602C">
            <w:pPr>
              <w:pStyle w:val="Bibliography"/>
              <w:rPr>
                <w:noProof/>
              </w:rPr>
            </w:pPr>
            <w:r>
              <w:rPr>
                <w:noProof/>
              </w:rPr>
              <w:t xml:space="preserve">[3] </w:t>
            </w:r>
          </w:p>
        </w:tc>
        <w:tc>
          <w:tcPr>
            <w:tcW w:w="0" w:type="auto"/>
            <w:hideMark/>
          </w:tcPr>
          <w:p w14:paraId="65161C84" w14:textId="77777777" w:rsidR="00BB602C" w:rsidRDefault="00BB602C">
            <w:pPr>
              <w:pStyle w:val="Bibliography"/>
              <w:rPr>
                <w:noProof/>
              </w:rPr>
            </w:pPr>
            <w:r>
              <w:rPr>
                <w:noProof/>
              </w:rPr>
              <w:t>Air Force Audit Agency, "Audit Service Execution, AFAAI65-101," Office of Headquarters Financial Management, Washington, DC, 2018.</w:t>
            </w:r>
          </w:p>
        </w:tc>
      </w:tr>
      <w:tr w:rsidR="00BB602C" w14:paraId="6DD0DBE2" w14:textId="77777777">
        <w:trPr>
          <w:divId w:val="539319277"/>
          <w:tblCellSpacing w:w="15" w:type="dxa"/>
        </w:trPr>
        <w:tc>
          <w:tcPr>
            <w:tcW w:w="50" w:type="pct"/>
            <w:hideMark/>
          </w:tcPr>
          <w:p w14:paraId="66AE0B7B" w14:textId="77777777" w:rsidR="00BB602C" w:rsidRDefault="00BB602C">
            <w:pPr>
              <w:pStyle w:val="Bibliography"/>
              <w:rPr>
                <w:noProof/>
              </w:rPr>
            </w:pPr>
            <w:r>
              <w:rPr>
                <w:noProof/>
              </w:rPr>
              <w:t xml:space="preserve">[4] </w:t>
            </w:r>
          </w:p>
        </w:tc>
        <w:tc>
          <w:tcPr>
            <w:tcW w:w="0" w:type="auto"/>
            <w:hideMark/>
          </w:tcPr>
          <w:p w14:paraId="3DFB53F6" w14:textId="77777777" w:rsidR="00BB602C" w:rsidRDefault="00BB602C">
            <w:pPr>
              <w:pStyle w:val="Bibliography"/>
              <w:rPr>
                <w:noProof/>
              </w:rPr>
            </w:pPr>
            <w:r>
              <w:rPr>
                <w:noProof/>
              </w:rPr>
              <w:t>G. Dickey and S. Blanke, "Machine Learning in Auditing," June 2019. [Online]. Available: https://www.cpajournal.com/2019/06/19/machine-learning-in-auditing/. [Accessed 9 May 2021].</w:t>
            </w:r>
          </w:p>
        </w:tc>
      </w:tr>
      <w:tr w:rsidR="00BB602C" w14:paraId="644F2438" w14:textId="77777777">
        <w:trPr>
          <w:divId w:val="539319277"/>
          <w:tblCellSpacing w:w="15" w:type="dxa"/>
        </w:trPr>
        <w:tc>
          <w:tcPr>
            <w:tcW w:w="50" w:type="pct"/>
            <w:hideMark/>
          </w:tcPr>
          <w:p w14:paraId="00904CF0" w14:textId="77777777" w:rsidR="00BB602C" w:rsidRDefault="00BB602C">
            <w:pPr>
              <w:pStyle w:val="Bibliography"/>
              <w:rPr>
                <w:noProof/>
              </w:rPr>
            </w:pPr>
            <w:r>
              <w:rPr>
                <w:noProof/>
              </w:rPr>
              <w:t xml:space="preserve">[5] </w:t>
            </w:r>
          </w:p>
        </w:tc>
        <w:tc>
          <w:tcPr>
            <w:tcW w:w="0" w:type="auto"/>
            <w:hideMark/>
          </w:tcPr>
          <w:p w14:paraId="3AE452F4" w14:textId="77777777" w:rsidR="00BB602C" w:rsidRDefault="00BB602C">
            <w:pPr>
              <w:pStyle w:val="Bibliography"/>
              <w:rPr>
                <w:noProof/>
              </w:rPr>
            </w:pPr>
            <w:r>
              <w:rPr>
                <w:noProof/>
              </w:rPr>
              <w:t>IIA, "​The Artificially Intelligent Audit Function," 15 September 2020. [Online]. Available: https://www.riskman.in/2020/09/15/%E2%80%8Bthe-artificially-intelligent-audit-function/. [Accessed 9 May 2021].</w:t>
            </w:r>
          </w:p>
        </w:tc>
      </w:tr>
      <w:tr w:rsidR="00BB602C" w14:paraId="4E7FA746" w14:textId="77777777">
        <w:trPr>
          <w:divId w:val="539319277"/>
          <w:tblCellSpacing w:w="15" w:type="dxa"/>
        </w:trPr>
        <w:tc>
          <w:tcPr>
            <w:tcW w:w="50" w:type="pct"/>
            <w:hideMark/>
          </w:tcPr>
          <w:p w14:paraId="4B2D6BE2" w14:textId="77777777" w:rsidR="00BB602C" w:rsidRDefault="00BB602C">
            <w:pPr>
              <w:pStyle w:val="Bibliography"/>
              <w:rPr>
                <w:noProof/>
              </w:rPr>
            </w:pPr>
            <w:r>
              <w:rPr>
                <w:noProof/>
              </w:rPr>
              <w:t xml:space="preserve">[6] </w:t>
            </w:r>
          </w:p>
        </w:tc>
        <w:tc>
          <w:tcPr>
            <w:tcW w:w="0" w:type="auto"/>
            <w:hideMark/>
          </w:tcPr>
          <w:p w14:paraId="28909A64" w14:textId="77777777" w:rsidR="00BB602C" w:rsidRDefault="00BB602C">
            <w:pPr>
              <w:pStyle w:val="Bibliography"/>
              <w:rPr>
                <w:noProof/>
              </w:rPr>
            </w:pPr>
            <w:r>
              <w:rPr>
                <w:noProof/>
              </w:rPr>
              <w:t>D. Hood, "A new eye on audit quality," 29 March 2021. [Online]. Available: https://www.accountingtoday.com/news/a-new-eye-on-audit-quality. [Accessed 9 May 2021].</w:t>
            </w:r>
          </w:p>
        </w:tc>
      </w:tr>
      <w:tr w:rsidR="00BB602C" w14:paraId="0AA1336E" w14:textId="77777777">
        <w:trPr>
          <w:divId w:val="539319277"/>
          <w:tblCellSpacing w:w="15" w:type="dxa"/>
        </w:trPr>
        <w:tc>
          <w:tcPr>
            <w:tcW w:w="50" w:type="pct"/>
            <w:hideMark/>
          </w:tcPr>
          <w:p w14:paraId="12410412" w14:textId="77777777" w:rsidR="00BB602C" w:rsidRDefault="00BB602C">
            <w:pPr>
              <w:pStyle w:val="Bibliography"/>
              <w:rPr>
                <w:noProof/>
              </w:rPr>
            </w:pPr>
            <w:r>
              <w:rPr>
                <w:noProof/>
              </w:rPr>
              <w:lastRenderedPageBreak/>
              <w:t xml:space="preserve">[7] </w:t>
            </w:r>
          </w:p>
        </w:tc>
        <w:tc>
          <w:tcPr>
            <w:tcW w:w="0" w:type="auto"/>
            <w:hideMark/>
          </w:tcPr>
          <w:p w14:paraId="6345DFA2" w14:textId="77777777" w:rsidR="00BB602C" w:rsidRDefault="00BB602C">
            <w:pPr>
              <w:pStyle w:val="Bibliography"/>
              <w:rPr>
                <w:noProof/>
              </w:rPr>
            </w:pPr>
            <w:r>
              <w:rPr>
                <w:noProof/>
              </w:rPr>
              <w:t xml:space="preserve">P. Hajek and R. Henriques, "Mining corporate annual reports for intelligent detection of financial staement fraud - A comparative study of machine learning methods," </w:t>
            </w:r>
            <w:r>
              <w:rPr>
                <w:i/>
                <w:iCs/>
                <w:noProof/>
              </w:rPr>
              <w:t xml:space="preserve">Knowledge-Based Systems, </w:t>
            </w:r>
            <w:r>
              <w:rPr>
                <w:noProof/>
              </w:rPr>
              <w:t xml:space="preserve">vol. 128, pp. 139-152, 2017. </w:t>
            </w:r>
          </w:p>
        </w:tc>
      </w:tr>
      <w:tr w:rsidR="00BB602C" w14:paraId="5AB200A3" w14:textId="77777777">
        <w:trPr>
          <w:divId w:val="539319277"/>
          <w:tblCellSpacing w:w="15" w:type="dxa"/>
        </w:trPr>
        <w:tc>
          <w:tcPr>
            <w:tcW w:w="50" w:type="pct"/>
            <w:hideMark/>
          </w:tcPr>
          <w:p w14:paraId="653EB3D0" w14:textId="77777777" w:rsidR="00BB602C" w:rsidRDefault="00BB602C">
            <w:pPr>
              <w:pStyle w:val="Bibliography"/>
              <w:rPr>
                <w:noProof/>
              </w:rPr>
            </w:pPr>
            <w:r>
              <w:rPr>
                <w:noProof/>
              </w:rPr>
              <w:t xml:space="preserve">[8] </w:t>
            </w:r>
          </w:p>
        </w:tc>
        <w:tc>
          <w:tcPr>
            <w:tcW w:w="0" w:type="auto"/>
            <w:hideMark/>
          </w:tcPr>
          <w:p w14:paraId="31851CE3" w14:textId="77777777" w:rsidR="00BB602C" w:rsidRDefault="00BB602C">
            <w:pPr>
              <w:pStyle w:val="Bibliography"/>
              <w:rPr>
                <w:noProof/>
              </w:rPr>
            </w:pPr>
            <w:r>
              <w:rPr>
                <w:noProof/>
              </w:rPr>
              <w:t xml:space="preserve">Y. Meng, W. Speier, C. Shufelt, S. Joung, J. Van Eyk, C. N. Merz, M. Lopez, B. Spiegel and C. Arnold, "A Machine Learning Approach to Classifying Self-Reported Health Status in a Cohort of Patients With Heart Disease Using Activity Tracker Data," </w:t>
            </w:r>
            <w:r>
              <w:rPr>
                <w:i/>
                <w:iCs/>
                <w:noProof/>
              </w:rPr>
              <w:t xml:space="preserve">IEEE Journal of Biomedical and Health Informatics, </w:t>
            </w:r>
            <w:r>
              <w:rPr>
                <w:noProof/>
              </w:rPr>
              <w:t xml:space="preserve">vol. 24, no. 3, pp. 878-884, 2019. </w:t>
            </w:r>
          </w:p>
        </w:tc>
      </w:tr>
      <w:tr w:rsidR="00BB602C" w14:paraId="3089F4F8" w14:textId="77777777">
        <w:trPr>
          <w:divId w:val="539319277"/>
          <w:tblCellSpacing w:w="15" w:type="dxa"/>
        </w:trPr>
        <w:tc>
          <w:tcPr>
            <w:tcW w:w="50" w:type="pct"/>
            <w:hideMark/>
          </w:tcPr>
          <w:p w14:paraId="79CF54B0" w14:textId="77777777" w:rsidR="00BB602C" w:rsidRDefault="00BB602C">
            <w:pPr>
              <w:pStyle w:val="Bibliography"/>
              <w:rPr>
                <w:noProof/>
              </w:rPr>
            </w:pPr>
            <w:r>
              <w:rPr>
                <w:noProof/>
              </w:rPr>
              <w:t xml:space="preserve">[9] </w:t>
            </w:r>
          </w:p>
        </w:tc>
        <w:tc>
          <w:tcPr>
            <w:tcW w:w="0" w:type="auto"/>
            <w:hideMark/>
          </w:tcPr>
          <w:p w14:paraId="21F0DE39" w14:textId="77777777" w:rsidR="00BB602C" w:rsidRDefault="00BB602C">
            <w:pPr>
              <w:pStyle w:val="Bibliography"/>
              <w:rPr>
                <w:noProof/>
              </w:rPr>
            </w:pPr>
            <w:r>
              <w:rPr>
                <w:noProof/>
              </w:rPr>
              <w:t xml:space="preserve">J. Johnson and T. Khoshgoftaar, "Medicare fraud detection using neural networks," </w:t>
            </w:r>
            <w:r>
              <w:rPr>
                <w:i/>
                <w:iCs/>
                <w:noProof/>
              </w:rPr>
              <w:t xml:space="preserve">Journal of Big Data, </w:t>
            </w:r>
            <w:r>
              <w:rPr>
                <w:noProof/>
              </w:rPr>
              <w:t xml:space="preserve">vol. 6, no. 1, 2019. </w:t>
            </w:r>
          </w:p>
        </w:tc>
      </w:tr>
      <w:tr w:rsidR="00BB602C" w14:paraId="2CA695F0" w14:textId="77777777" w:rsidTr="004542AA">
        <w:trPr>
          <w:divId w:val="539319277"/>
          <w:trHeight w:val="40"/>
          <w:tblCellSpacing w:w="15" w:type="dxa"/>
        </w:trPr>
        <w:tc>
          <w:tcPr>
            <w:tcW w:w="50" w:type="pct"/>
            <w:hideMark/>
          </w:tcPr>
          <w:p w14:paraId="378793C7" w14:textId="77777777" w:rsidR="00BB602C" w:rsidRDefault="00BB602C">
            <w:pPr>
              <w:pStyle w:val="Bibliography"/>
              <w:rPr>
                <w:noProof/>
              </w:rPr>
            </w:pPr>
            <w:r>
              <w:rPr>
                <w:noProof/>
              </w:rPr>
              <w:t xml:space="preserve">[10] </w:t>
            </w:r>
          </w:p>
        </w:tc>
        <w:tc>
          <w:tcPr>
            <w:tcW w:w="0" w:type="auto"/>
            <w:hideMark/>
          </w:tcPr>
          <w:p w14:paraId="673D1048" w14:textId="77777777" w:rsidR="00BB602C" w:rsidRDefault="00BB602C">
            <w:pPr>
              <w:pStyle w:val="Bibliography"/>
              <w:rPr>
                <w:noProof/>
              </w:rPr>
            </w:pPr>
            <w:r>
              <w:rPr>
                <w:noProof/>
              </w:rPr>
              <w:t>E. Dauria, "Looking at R-Squared," 13 May 2019. [Online]. Available: https://medium.com/@erika.dauria/looking-at-r-squared-721252709098. [Accessed 29 May 2021].</w:t>
            </w:r>
          </w:p>
        </w:tc>
      </w:tr>
    </w:tbl>
    <w:p w14:paraId="65C4BCEF" w14:textId="31612153" w:rsidR="00147061" w:rsidRDefault="005009C1" w:rsidP="00EC5CDD">
      <w:pPr>
        <w:pStyle w:val="IEEEpara"/>
        <w:ind w:firstLine="0"/>
      </w:pPr>
      <w:r>
        <w:fldChar w:fldCharType="end"/>
      </w:r>
    </w:p>
    <w:sectPr w:rsidR="00147061">
      <w:footerReference w:type="default" r:id="rId17"/>
      <w:type w:val="continuous"/>
      <w:pgSz w:w="12240" w:h="15840"/>
      <w:pgMar w:top="1080" w:right="907" w:bottom="1440" w:left="907"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36C33" w14:textId="77777777" w:rsidR="001050DF" w:rsidRDefault="001050DF">
      <w:r>
        <w:separator/>
      </w:r>
    </w:p>
  </w:endnote>
  <w:endnote w:type="continuationSeparator" w:id="0">
    <w:p w14:paraId="0EDAB3D1" w14:textId="77777777" w:rsidR="001050DF" w:rsidRDefault="0010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9F7ED" w14:textId="77777777" w:rsidR="00147061" w:rsidRDefault="001470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13B60" w14:textId="77777777" w:rsidR="00147061" w:rsidRDefault="001470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5C932" w14:textId="77777777" w:rsidR="001050DF" w:rsidRDefault="001050DF">
      <w:r>
        <w:separator/>
      </w:r>
    </w:p>
  </w:footnote>
  <w:footnote w:type="continuationSeparator" w:id="0">
    <w:p w14:paraId="7DAEC51D" w14:textId="77777777" w:rsidR="001050DF" w:rsidRDefault="00105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6906"/>
    <w:multiLevelType w:val="multilevel"/>
    <w:tmpl w:val="A9B88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D5B72"/>
    <w:multiLevelType w:val="multilevel"/>
    <w:tmpl w:val="EF9E158A"/>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2" w15:restartNumberingAfterBreak="0">
    <w:nsid w:val="39F65C3D"/>
    <w:multiLevelType w:val="multilevel"/>
    <w:tmpl w:val="D2B0393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CF4E1B"/>
    <w:multiLevelType w:val="multilevel"/>
    <w:tmpl w:val="2FC29B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CC6015"/>
    <w:multiLevelType w:val="multilevel"/>
    <w:tmpl w:val="A09E71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9611A20"/>
    <w:multiLevelType w:val="multilevel"/>
    <w:tmpl w:val="C55ABC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320467"/>
    <w:multiLevelType w:val="multilevel"/>
    <w:tmpl w:val="37F62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defaultTabStop w:val="136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61"/>
    <w:rsid w:val="0000018C"/>
    <w:rsid w:val="00012E42"/>
    <w:rsid w:val="000400FD"/>
    <w:rsid w:val="00065619"/>
    <w:rsid w:val="00080B48"/>
    <w:rsid w:val="000B546C"/>
    <w:rsid w:val="000D66C1"/>
    <w:rsid w:val="001050DF"/>
    <w:rsid w:val="00114F8F"/>
    <w:rsid w:val="00131575"/>
    <w:rsid w:val="001337F0"/>
    <w:rsid w:val="00134462"/>
    <w:rsid w:val="0014074A"/>
    <w:rsid w:val="00147061"/>
    <w:rsid w:val="001943CA"/>
    <w:rsid w:val="001D134D"/>
    <w:rsid w:val="001D73B1"/>
    <w:rsid w:val="0020718D"/>
    <w:rsid w:val="0026143B"/>
    <w:rsid w:val="002916A5"/>
    <w:rsid w:val="002935D7"/>
    <w:rsid w:val="002A498F"/>
    <w:rsid w:val="002C1532"/>
    <w:rsid w:val="002C2A3F"/>
    <w:rsid w:val="002D5966"/>
    <w:rsid w:val="00305CAE"/>
    <w:rsid w:val="00324022"/>
    <w:rsid w:val="00337417"/>
    <w:rsid w:val="0034040B"/>
    <w:rsid w:val="00377A02"/>
    <w:rsid w:val="00381989"/>
    <w:rsid w:val="00397F5B"/>
    <w:rsid w:val="003A46FB"/>
    <w:rsid w:val="003C03BD"/>
    <w:rsid w:val="003E1F3B"/>
    <w:rsid w:val="003E3ECE"/>
    <w:rsid w:val="003F3672"/>
    <w:rsid w:val="00407A68"/>
    <w:rsid w:val="00415EED"/>
    <w:rsid w:val="00427714"/>
    <w:rsid w:val="00434893"/>
    <w:rsid w:val="004542AA"/>
    <w:rsid w:val="004A089E"/>
    <w:rsid w:val="004A3833"/>
    <w:rsid w:val="004D6908"/>
    <w:rsid w:val="004E5573"/>
    <w:rsid w:val="005001CC"/>
    <w:rsid w:val="005009C1"/>
    <w:rsid w:val="00503154"/>
    <w:rsid w:val="00507848"/>
    <w:rsid w:val="00544F80"/>
    <w:rsid w:val="00551C18"/>
    <w:rsid w:val="005733D3"/>
    <w:rsid w:val="0058255F"/>
    <w:rsid w:val="005927CE"/>
    <w:rsid w:val="005B773C"/>
    <w:rsid w:val="005F5639"/>
    <w:rsid w:val="006255C7"/>
    <w:rsid w:val="00632972"/>
    <w:rsid w:val="00645B2F"/>
    <w:rsid w:val="00666CB9"/>
    <w:rsid w:val="00683989"/>
    <w:rsid w:val="006A12AD"/>
    <w:rsid w:val="006A1D9A"/>
    <w:rsid w:val="006A7B75"/>
    <w:rsid w:val="00713CBA"/>
    <w:rsid w:val="007215EC"/>
    <w:rsid w:val="00743D48"/>
    <w:rsid w:val="00773A5E"/>
    <w:rsid w:val="007A3CC5"/>
    <w:rsid w:val="007A6A0C"/>
    <w:rsid w:val="007F39A7"/>
    <w:rsid w:val="007F4D60"/>
    <w:rsid w:val="008226F6"/>
    <w:rsid w:val="00850E13"/>
    <w:rsid w:val="00857360"/>
    <w:rsid w:val="0086062F"/>
    <w:rsid w:val="008636EE"/>
    <w:rsid w:val="00882053"/>
    <w:rsid w:val="00896E61"/>
    <w:rsid w:val="008B31DC"/>
    <w:rsid w:val="008F1920"/>
    <w:rsid w:val="00903A31"/>
    <w:rsid w:val="009401FB"/>
    <w:rsid w:val="009406B8"/>
    <w:rsid w:val="00942F13"/>
    <w:rsid w:val="0096697C"/>
    <w:rsid w:val="009A2ED4"/>
    <w:rsid w:val="009A6336"/>
    <w:rsid w:val="009F35D0"/>
    <w:rsid w:val="00A01F08"/>
    <w:rsid w:val="00A23755"/>
    <w:rsid w:val="00A8045C"/>
    <w:rsid w:val="00A80A84"/>
    <w:rsid w:val="00A960C1"/>
    <w:rsid w:val="00A97D8D"/>
    <w:rsid w:val="00AB5BA9"/>
    <w:rsid w:val="00AC0486"/>
    <w:rsid w:val="00AC2881"/>
    <w:rsid w:val="00AC68AD"/>
    <w:rsid w:val="00AD7FA9"/>
    <w:rsid w:val="00AF7E5B"/>
    <w:rsid w:val="00B26A8B"/>
    <w:rsid w:val="00B705C6"/>
    <w:rsid w:val="00B74F44"/>
    <w:rsid w:val="00BB461B"/>
    <w:rsid w:val="00BB602C"/>
    <w:rsid w:val="00BD3976"/>
    <w:rsid w:val="00BE6099"/>
    <w:rsid w:val="00BF7822"/>
    <w:rsid w:val="00C1283B"/>
    <w:rsid w:val="00C17E12"/>
    <w:rsid w:val="00C25903"/>
    <w:rsid w:val="00C45A53"/>
    <w:rsid w:val="00C609A5"/>
    <w:rsid w:val="00C66D5F"/>
    <w:rsid w:val="00C80128"/>
    <w:rsid w:val="00C85467"/>
    <w:rsid w:val="00CB2286"/>
    <w:rsid w:val="00D042B9"/>
    <w:rsid w:val="00D052A4"/>
    <w:rsid w:val="00D12658"/>
    <w:rsid w:val="00D278E3"/>
    <w:rsid w:val="00D34AF8"/>
    <w:rsid w:val="00DC1770"/>
    <w:rsid w:val="00DE7D52"/>
    <w:rsid w:val="00DF186A"/>
    <w:rsid w:val="00E15A5C"/>
    <w:rsid w:val="00E2108E"/>
    <w:rsid w:val="00E309CE"/>
    <w:rsid w:val="00E50A99"/>
    <w:rsid w:val="00E54D2A"/>
    <w:rsid w:val="00EC5CDD"/>
    <w:rsid w:val="00ED5A25"/>
    <w:rsid w:val="00EF21C7"/>
    <w:rsid w:val="00EF3EA5"/>
    <w:rsid w:val="00EF6AB0"/>
    <w:rsid w:val="00F01983"/>
    <w:rsid w:val="00F12645"/>
    <w:rsid w:val="00F13259"/>
    <w:rsid w:val="00F3435C"/>
    <w:rsid w:val="00F542C2"/>
    <w:rsid w:val="00F62A6F"/>
    <w:rsid w:val="00F65D8B"/>
    <w:rsid w:val="00FB4E01"/>
    <w:rsid w:val="00FC5DDF"/>
    <w:rsid w:val="00FD0AEE"/>
    <w:rsid w:val="00FF46E6"/>
    <w:rsid w:val="00FF5E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0794"/>
  <w15:docId w15:val="{FB6BDBC6-6CB2-4D92-B5D2-9B141DF3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kern w:val="2"/>
      <w:sz w:val="28"/>
    </w:rPr>
  </w:style>
  <w:style w:type="paragraph" w:styleId="Heading2">
    <w:name w:val="heading 2"/>
    <w:basedOn w:val="Normal"/>
    <w:next w:val="Normal"/>
    <w:qFormat/>
    <w:pPr>
      <w:keepNext/>
      <w:spacing w:before="120" w:after="60"/>
      <w:outlineLvl w:val="1"/>
    </w:pPr>
    <w:rPr>
      <w:b/>
      <w:sz w:val="24"/>
    </w:rPr>
  </w:style>
  <w:style w:type="paragraph" w:styleId="Heading3">
    <w:name w:val="heading 3"/>
    <w:basedOn w:val="Normal"/>
    <w:next w:val="Normal"/>
    <w:qFormat/>
    <w:pPr>
      <w:keepNext/>
      <w:spacing w:before="120" w:after="60"/>
      <w:jc w:val="center"/>
      <w:outlineLvl w:val="2"/>
    </w:pPr>
    <w:rPr>
      <w:b/>
      <w:caps/>
      <w:sz w:val="24"/>
    </w:rPr>
  </w:style>
  <w:style w:type="paragraph" w:styleId="Heading4">
    <w:name w:val="heading 4"/>
    <w:basedOn w:val="Normal"/>
    <w:next w:val="Normal"/>
    <w:qFormat/>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uiPriority w:val="99"/>
    <w:qFormat/>
    <w:rPr>
      <w:vertAlign w:val="superscript"/>
    </w:rPr>
  </w:style>
  <w:style w:type="character" w:customStyle="1" w:styleId="FootnoteAnchor">
    <w:name w:val="Footnote Anchor"/>
    <w:rPr>
      <w:vertAlign w:val="superscript"/>
    </w:rPr>
  </w:style>
  <w:style w:type="character" w:customStyle="1" w:styleId="InternetLink">
    <w:name w:val="Internet Link"/>
    <w:rPr>
      <w:color w:val="0000FF"/>
      <w:u w:val="single"/>
    </w:rPr>
  </w:style>
  <w:style w:type="character" w:customStyle="1" w:styleId="MTEquationSection">
    <w:name w:val="MTEquationSection"/>
    <w:qFormat/>
    <w:rPr>
      <w:vanish/>
      <w:color w:val="FF0000"/>
      <w:kern w:val="2"/>
      <w:sz w:val="18"/>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PlainTextChar">
    <w:name w:val="Plain Text Char"/>
    <w:link w:val="PlainText"/>
    <w:uiPriority w:val="99"/>
    <w:qFormat/>
    <w:rsid w:val="00190B57"/>
    <w:rPr>
      <w:rFonts w:ascii="Consolas" w:eastAsia="Calibri" w:hAnsi="Consolas"/>
      <w:sz w:val="21"/>
      <w:szCs w:val="21"/>
    </w:rPr>
  </w:style>
  <w:style w:type="character" w:customStyle="1" w:styleId="FootnoteTextChar">
    <w:name w:val="Footnote Text Char"/>
    <w:link w:val="FootnoteText"/>
    <w:uiPriority w:val="99"/>
    <w:qFormat/>
    <w:rsid w:val="00190B57"/>
  </w:style>
  <w:style w:type="character" w:customStyle="1" w:styleId="EndnoteTextChar">
    <w:name w:val="Endnote Text Char"/>
    <w:basedOn w:val="DefaultParagraphFont"/>
    <w:link w:val="EndnoteText"/>
    <w:uiPriority w:val="99"/>
    <w:semiHidden/>
    <w:qFormat/>
    <w:rsid w:val="002B08F4"/>
  </w:style>
  <w:style w:type="character" w:customStyle="1" w:styleId="EndnoteCharacters">
    <w:name w:val="Endnote Characters"/>
    <w:basedOn w:val="DefaultParagraphFont"/>
    <w:uiPriority w:val="99"/>
    <w:semiHidden/>
    <w:unhideWhenUsed/>
    <w:qFormat/>
    <w:rsid w:val="002B08F4"/>
    <w:rPr>
      <w:vertAlign w:val="superscript"/>
    </w:rPr>
  </w:style>
  <w:style w:type="character" w:customStyle="1" w:styleId="EndnoteAnchor">
    <w:name w:val="Endnote Anchor"/>
    <w:rPr>
      <w:vertAlign w:val="superscript"/>
    </w:rPr>
  </w:style>
  <w:style w:type="character" w:customStyle="1" w:styleId="Heading1Char">
    <w:name w:val="Heading 1 Char"/>
    <w:link w:val="Heading1"/>
    <w:uiPriority w:val="9"/>
    <w:qFormat/>
    <w:rsid w:val="002B08F4"/>
    <w:rPr>
      <w:b/>
      <w:kern w:val="2"/>
      <w:sz w:val="28"/>
    </w:rPr>
  </w:style>
  <w:style w:type="character" w:styleId="PlaceholderText">
    <w:name w:val="Placeholder Text"/>
    <w:basedOn w:val="DefaultParagraphFont"/>
    <w:uiPriority w:val="99"/>
    <w:unhideWhenUsed/>
    <w:qFormat/>
    <w:rsid w:val="00ED3727"/>
    <w:rPr>
      <w:color w:val="808080"/>
    </w:rPr>
  </w:style>
  <w:style w:type="character" w:styleId="CommentReference">
    <w:name w:val="annotation reference"/>
    <w:basedOn w:val="DefaultParagraphFont"/>
    <w:uiPriority w:val="99"/>
    <w:semiHidden/>
    <w:unhideWhenUsed/>
    <w:qFormat/>
    <w:rsid w:val="00636BD2"/>
    <w:rPr>
      <w:sz w:val="16"/>
      <w:szCs w:val="16"/>
    </w:rPr>
  </w:style>
  <w:style w:type="character" w:customStyle="1" w:styleId="CommentTextChar">
    <w:name w:val="Comment Text Char"/>
    <w:basedOn w:val="DefaultParagraphFont"/>
    <w:link w:val="CommentText"/>
    <w:uiPriority w:val="99"/>
    <w:semiHidden/>
    <w:qFormat/>
    <w:rsid w:val="00636BD2"/>
  </w:style>
  <w:style w:type="character" w:customStyle="1" w:styleId="CommentSubjectChar">
    <w:name w:val="Comment Subject Char"/>
    <w:basedOn w:val="CommentTextChar"/>
    <w:link w:val="CommentSubject"/>
    <w:uiPriority w:val="99"/>
    <w:semiHidden/>
    <w:qFormat/>
    <w:rsid w:val="00636BD2"/>
    <w:rPr>
      <w:b/>
      <w:bCs/>
    </w:rPr>
  </w:style>
  <w:style w:type="character" w:customStyle="1" w:styleId="UnresolvedMention1">
    <w:name w:val="Unresolved Mention1"/>
    <w:basedOn w:val="DefaultParagraphFont"/>
    <w:uiPriority w:val="99"/>
    <w:semiHidden/>
    <w:unhideWhenUsed/>
    <w:qFormat/>
    <w:rsid w:val="00975B54"/>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SimSun"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SimSun" w:cs="Times New Roman"/>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SimSun" w:cs="Times New Roman"/>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SimSun" w:cs="Times New Roman"/>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SimSun" w:cs="Times New Roman"/>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jc w:val="both"/>
    </w:pPr>
  </w:style>
  <w:style w:type="paragraph" w:styleId="List">
    <w:name w:val="List"/>
    <w:basedOn w:val="BodyText"/>
    <w:rPr>
      <w:rFonts w:cs="Lucida Sans"/>
    </w:rPr>
  </w:style>
  <w:style w:type="paragraph" w:styleId="Caption">
    <w:name w:val="caption"/>
    <w:basedOn w:val="Normal"/>
    <w:next w:val="Normal"/>
    <w:uiPriority w:val="35"/>
    <w:unhideWhenUsed/>
    <w:qFormat/>
    <w:rsid w:val="00421B16"/>
    <w:pPr>
      <w:spacing w:after="200"/>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FootnoteText">
    <w:name w:val="footnote text"/>
    <w:basedOn w:val="Normal"/>
    <w:link w:val="FootnoteTextChar"/>
    <w:uiPriority w:val="99"/>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qFormat/>
    <w:rPr>
      <w:sz w:val="24"/>
    </w:rPr>
  </w:style>
  <w:style w:type="paragraph" w:customStyle="1" w:styleId="MTDisplayEquation">
    <w:name w:val="MTDisplayEquation"/>
    <w:basedOn w:val="Normal"/>
    <w:qFormat/>
    <w:pPr>
      <w:tabs>
        <w:tab w:val="center" w:pos="2360"/>
        <w:tab w:val="right" w:pos="4720"/>
      </w:tabs>
      <w:spacing w:before="120" w:after="120"/>
    </w:pPr>
    <w:rPr>
      <w:rFonts w:ascii="Times" w:hAnsi="Times"/>
    </w:rPr>
  </w:style>
  <w:style w:type="paragraph" w:styleId="BodyTextIndent">
    <w:name w:val="Body Text Indent"/>
    <w:basedOn w:val="Normal"/>
    <w:pPr>
      <w:spacing w:line="240" w:lineRule="exact"/>
      <w:ind w:firstLine="180"/>
      <w:jc w:val="both"/>
    </w:pPr>
    <w:rPr>
      <w:rFonts w:ascii="Times" w:hAnsi="Times"/>
    </w:rPr>
  </w:style>
  <w:style w:type="paragraph" w:styleId="BodyTextIndent2">
    <w:name w:val="Body Text Indent 2"/>
    <w:basedOn w:val="Normal"/>
    <w:qFormat/>
    <w:pPr>
      <w:spacing w:line="240" w:lineRule="exact"/>
      <w:ind w:firstLine="187"/>
      <w:jc w:val="both"/>
    </w:pPr>
    <w:rPr>
      <w:rFonts w:ascii="Times" w:hAnsi="Times"/>
    </w:rPr>
  </w:style>
  <w:style w:type="paragraph" w:customStyle="1" w:styleId="References">
    <w:name w:val="References"/>
    <w:basedOn w:val="ListNumber"/>
    <w:qFormat/>
    <w:rPr>
      <w:sz w:val="16"/>
    </w:rPr>
  </w:style>
  <w:style w:type="paragraph" w:styleId="ListNumber">
    <w:name w:val="List Number"/>
    <w:basedOn w:val="Normal"/>
    <w:qFormat/>
  </w:style>
  <w:style w:type="paragraph" w:styleId="BodyTextIndent3">
    <w:name w:val="Body Text Indent 3"/>
    <w:basedOn w:val="Normal"/>
    <w:qFormat/>
    <w:pPr>
      <w:spacing w:before="120" w:after="120"/>
      <w:ind w:left="-90"/>
      <w:jc w:val="center"/>
    </w:pPr>
    <w:rPr>
      <w:rFonts w:ascii="Times" w:hAnsi="Times"/>
      <w:sz w:val="24"/>
    </w:rPr>
  </w:style>
  <w:style w:type="paragraph" w:styleId="BalloonText">
    <w:name w:val="Balloon Text"/>
    <w:basedOn w:val="Normal"/>
    <w:semiHidden/>
    <w:qFormat/>
    <w:rsid w:val="0071556D"/>
    <w:rPr>
      <w:rFonts w:ascii="Tahoma" w:hAnsi="Tahoma" w:cs="Tahoma"/>
      <w:sz w:val="16"/>
      <w:szCs w:val="16"/>
    </w:rPr>
  </w:style>
  <w:style w:type="paragraph" w:styleId="PlainText">
    <w:name w:val="Plain Text"/>
    <w:basedOn w:val="Normal"/>
    <w:link w:val="PlainTextChar"/>
    <w:uiPriority w:val="99"/>
    <w:unhideWhenUsed/>
    <w:qFormat/>
    <w:rsid w:val="00190B57"/>
    <w:rPr>
      <w:rFonts w:ascii="Consolas" w:eastAsia="Calibri" w:hAnsi="Consolas"/>
      <w:sz w:val="21"/>
      <w:szCs w:val="21"/>
    </w:rPr>
  </w:style>
  <w:style w:type="paragraph" w:styleId="EndnoteText">
    <w:name w:val="endnote text"/>
    <w:basedOn w:val="Normal"/>
    <w:link w:val="EndnoteTextChar"/>
    <w:uiPriority w:val="99"/>
    <w:semiHidden/>
    <w:unhideWhenUsed/>
    <w:rsid w:val="002B08F4"/>
  </w:style>
  <w:style w:type="paragraph" w:styleId="Bibliography">
    <w:name w:val="Bibliography"/>
    <w:basedOn w:val="Normal"/>
    <w:next w:val="Normal"/>
    <w:uiPriority w:val="70"/>
    <w:qFormat/>
    <w:rsid w:val="002B08F4"/>
  </w:style>
  <w:style w:type="paragraph" w:styleId="ListParagraph">
    <w:name w:val="List Paragraph"/>
    <w:basedOn w:val="Normal"/>
    <w:uiPriority w:val="34"/>
    <w:qFormat/>
    <w:rsid w:val="00215D7B"/>
    <w:pPr>
      <w:ind w:left="720"/>
      <w:contextualSpacing/>
    </w:pPr>
  </w:style>
  <w:style w:type="paragraph" w:customStyle="1" w:styleId="IEEEpara">
    <w:name w:val="IEEE para"/>
    <w:basedOn w:val="Normal"/>
    <w:qFormat/>
    <w:rsid w:val="002C6D0A"/>
    <w:pPr>
      <w:spacing w:before="120" w:after="120"/>
      <w:ind w:firstLine="180"/>
      <w:jc w:val="both"/>
    </w:pPr>
    <w:rPr>
      <w:lang w:eastAsia="zh-CN"/>
    </w:rPr>
  </w:style>
  <w:style w:type="paragraph" w:customStyle="1" w:styleId="IEEEBullet">
    <w:name w:val="IEEE Bullet"/>
    <w:basedOn w:val="ListParagraph"/>
    <w:qFormat/>
    <w:rsid w:val="00B136BC"/>
    <w:pPr>
      <w:spacing w:line="240" w:lineRule="exact"/>
      <w:jc w:val="both"/>
    </w:pPr>
    <w:rPr>
      <w:rFonts w:ascii="Times" w:hAnsi="Times"/>
    </w:rPr>
  </w:style>
  <w:style w:type="paragraph" w:styleId="NormalWeb">
    <w:name w:val="Normal (Web)"/>
    <w:basedOn w:val="Normal"/>
    <w:uiPriority w:val="99"/>
    <w:unhideWhenUsed/>
    <w:qFormat/>
    <w:rsid w:val="003D1ED1"/>
    <w:pPr>
      <w:spacing w:beforeAutospacing="1" w:afterAutospacing="1"/>
    </w:pPr>
    <w:rPr>
      <w:rFonts w:eastAsia="Times New Roman"/>
      <w:sz w:val="24"/>
      <w:szCs w:val="24"/>
    </w:rPr>
  </w:style>
  <w:style w:type="paragraph" w:styleId="CommentText">
    <w:name w:val="annotation text"/>
    <w:basedOn w:val="Normal"/>
    <w:link w:val="CommentTextChar"/>
    <w:uiPriority w:val="99"/>
    <w:semiHidden/>
    <w:unhideWhenUsed/>
    <w:qFormat/>
    <w:rsid w:val="00636BD2"/>
  </w:style>
  <w:style w:type="paragraph" w:styleId="CommentSubject">
    <w:name w:val="annotation subject"/>
    <w:basedOn w:val="CommentText"/>
    <w:next w:val="CommentText"/>
    <w:link w:val="CommentSubjectChar"/>
    <w:uiPriority w:val="99"/>
    <w:semiHidden/>
    <w:unhideWhenUsed/>
    <w:qFormat/>
    <w:rsid w:val="00636BD2"/>
    <w:rPr>
      <w:b/>
      <w:bCs/>
    </w:rPr>
  </w:style>
  <w:style w:type="paragraph" w:styleId="Revision">
    <w:name w:val="Revision"/>
    <w:uiPriority w:val="71"/>
    <w:semiHidden/>
    <w:qFormat/>
    <w:rsid w:val="008E0E52"/>
  </w:style>
  <w:style w:type="paragraph" w:customStyle="1" w:styleId="IEEEcaption">
    <w:name w:val="IEEE caption"/>
    <w:basedOn w:val="IEEEpara"/>
    <w:qFormat/>
    <w:rsid w:val="009E0598"/>
    <w:rPr>
      <w:rFonts w:ascii="Times" w:hAnsi="Times"/>
      <w:color w:val="000000"/>
      <w:sz w:val="18"/>
    </w:rPr>
  </w:style>
  <w:style w:type="table" w:styleId="TableGrid">
    <w:name w:val="Table Grid"/>
    <w:basedOn w:val="TableNormal"/>
    <w:uiPriority w:val="59"/>
    <w:rsid w:val="00227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384722">
      <w:bodyDiv w:val="1"/>
      <w:marLeft w:val="0"/>
      <w:marRight w:val="0"/>
      <w:marTop w:val="0"/>
      <w:marBottom w:val="0"/>
      <w:divBdr>
        <w:top w:val="none" w:sz="0" w:space="0" w:color="auto"/>
        <w:left w:val="none" w:sz="0" w:space="0" w:color="auto"/>
        <w:bottom w:val="none" w:sz="0" w:space="0" w:color="auto"/>
        <w:right w:val="none" w:sz="0" w:space="0" w:color="auto"/>
      </w:divBdr>
    </w:div>
    <w:div w:id="515656775">
      <w:bodyDiv w:val="1"/>
      <w:marLeft w:val="0"/>
      <w:marRight w:val="0"/>
      <w:marTop w:val="0"/>
      <w:marBottom w:val="0"/>
      <w:divBdr>
        <w:top w:val="none" w:sz="0" w:space="0" w:color="auto"/>
        <w:left w:val="none" w:sz="0" w:space="0" w:color="auto"/>
        <w:bottom w:val="none" w:sz="0" w:space="0" w:color="auto"/>
        <w:right w:val="none" w:sz="0" w:space="0" w:color="auto"/>
      </w:divBdr>
    </w:div>
    <w:div w:id="539319277">
      <w:bodyDiv w:val="1"/>
      <w:marLeft w:val="0"/>
      <w:marRight w:val="0"/>
      <w:marTop w:val="0"/>
      <w:marBottom w:val="0"/>
      <w:divBdr>
        <w:top w:val="none" w:sz="0" w:space="0" w:color="auto"/>
        <w:left w:val="none" w:sz="0" w:space="0" w:color="auto"/>
        <w:bottom w:val="none" w:sz="0" w:space="0" w:color="auto"/>
        <w:right w:val="none" w:sz="0" w:space="0" w:color="auto"/>
      </w:divBdr>
    </w:div>
    <w:div w:id="542207480">
      <w:bodyDiv w:val="1"/>
      <w:marLeft w:val="0"/>
      <w:marRight w:val="0"/>
      <w:marTop w:val="0"/>
      <w:marBottom w:val="0"/>
      <w:divBdr>
        <w:top w:val="none" w:sz="0" w:space="0" w:color="auto"/>
        <w:left w:val="none" w:sz="0" w:space="0" w:color="auto"/>
        <w:bottom w:val="none" w:sz="0" w:space="0" w:color="auto"/>
        <w:right w:val="none" w:sz="0" w:space="0" w:color="auto"/>
      </w:divBdr>
    </w:div>
    <w:div w:id="711543221">
      <w:bodyDiv w:val="1"/>
      <w:marLeft w:val="0"/>
      <w:marRight w:val="0"/>
      <w:marTop w:val="0"/>
      <w:marBottom w:val="0"/>
      <w:divBdr>
        <w:top w:val="none" w:sz="0" w:space="0" w:color="auto"/>
        <w:left w:val="none" w:sz="0" w:space="0" w:color="auto"/>
        <w:bottom w:val="none" w:sz="0" w:space="0" w:color="auto"/>
        <w:right w:val="none" w:sz="0" w:space="0" w:color="auto"/>
      </w:divBdr>
    </w:div>
    <w:div w:id="805440026">
      <w:bodyDiv w:val="1"/>
      <w:marLeft w:val="0"/>
      <w:marRight w:val="0"/>
      <w:marTop w:val="0"/>
      <w:marBottom w:val="0"/>
      <w:divBdr>
        <w:top w:val="none" w:sz="0" w:space="0" w:color="auto"/>
        <w:left w:val="none" w:sz="0" w:space="0" w:color="auto"/>
        <w:bottom w:val="none" w:sz="0" w:space="0" w:color="auto"/>
        <w:right w:val="none" w:sz="0" w:space="0" w:color="auto"/>
      </w:divBdr>
    </w:div>
    <w:div w:id="1022628247">
      <w:bodyDiv w:val="1"/>
      <w:marLeft w:val="0"/>
      <w:marRight w:val="0"/>
      <w:marTop w:val="0"/>
      <w:marBottom w:val="0"/>
      <w:divBdr>
        <w:top w:val="none" w:sz="0" w:space="0" w:color="auto"/>
        <w:left w:val="none" w:sz="0" w:space="0" w:color="auto"/>
        <w:bottom w:val="none" w:sz="0" w:space="0" w:color="auto"/>
        <w:right w:val="none" w:sz="0" w:space="0" w:color="auto"/>
      </w:divBdr>
    </w:div>
    <w:div w:id="1519268068">
      <w:bodyDiv w:val="1"/>
      <w:marLeft w:val="0"/>
      <w:marRight w:val="0"/>
      <w:marTop w:val="0"/>
      <w:marBottom w:val="0"/>
      <w:divBdr>
        <w:top w:val="none" w:sz="0" w:space="0" w:color="auto"/>
        <w:left w:val="none" w:sz="0" w:space="0" w:color="auto"/>
        <w:bottom w:val="none" w:sz="0" w:space="0" w:color="auto"/>
        <w:right w:val="none" w:sz="0" w:space="0" w:color="auto"/>
      </w:divBdr>
    </w:div>
    <w:div w:id="1627661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Com21</b:Tag>
    <b:SourceType>Report</b:SourceType>
    <b:Guid>{877ABADF-1680-489A-8BD0-083992D2A281}</b:Guid>
    <b:Title>Government Auditing Standards: 2018 Revision Technical Update April 2021</b:Title>
    <b:Year>2021</b:Year>
    <b:City>Washington, DC</b:City>
    <b:Publisher>U.S Government Accountability Office</b:Publisher>
    <b:StandardNumber>GAO-21-368G</b:StandardNumber>
    <b:Author>
      <b:Author>
        <b:Corporate>Comptroller General of the United States</b:Corporate>
      </b:Author>
    </b:Author>
    <b:RefOrder>2</b:RefOrder>
  </b:Source>
  <b:Source>
    <b:Tag>Dic19</b:Tag>
    <b:SourceType>DocumentFromInternetSite</b:SourceType>
    <b:Guid>{5D17EF97-97A1-4123-8EAC-D0D35590A55F}</b:Guid>
    <b:Title>Machine Learning in Auditing</b:Title>
    <b:Year>2019</b:Year>
    <b:Author>
      <b:Author>
        <b:NameList>
          <b:Person>
            <b:Last>Dickey</b:Last>
            <b:First>Gabe</b:First>
          </b:Person>
          <b:Person>
            <b:Last>Blanke</b:Last>
            <b:First>Sandra</b:First>
          </b:Person>
        </b:NameList>
      </b:Author>
    </b:Author>
    <b:Month>June</b:Month>
    <b:YearAccessed>2021</b:YearAccessed>
    <b:MonthAccessed>May</b:MonthAccessed>
    <b:DayAccessed>9</b:DayAccessed>
    <b:URL>https://www.cpajournal.com/2019/06/19/machine-learning-in-auditing/</b:URL>
    <b:RefOrder>4</b:RefOrder>
  </b:Source>
  <b:Source>
    <b:Tag>IIA20</b:Tag>
    <b:SourceType>DocumentFromInternetSite</b:SourceType>
    <b:Guid>{A900A30B-3B17-42AC-9D9E-6B4A0C62FB2E}</b:Guid>
    <b:Author>
      <b:Author>
        <b:Corporate>IIA</b:Corporate>
      </b:Author>
    </b:Author>
    <b:Title>​The Artificially Intelligent Audit Function</b:Title>
    <b:Year>2020</b:Year>
    <b:Month>September</b:Month>
    <b:Day>15</b:Day>
    <b:YearAccessed>2021</b:YearAccessed>
    <b:MonthAccessed>May</b:MonthAccessed>
    <b:DayAccessed>9</b:DayAccessed>
    <b:URL>https://www.riskman.in/2020/09/15/%E2%80%8Bthe-artificially-intelligent-audit-function/</b:URL>
    <b:RefOrder>5</b:RefOrder>
  </b:Source>
  <b:Source>
    <b:Tag>Hoo21</b:Tag>
    <b:SourceType>DocumentFromInternetSite</b:SourceType>
    <b:Guid>{92BF9A11-A822-4BE9-A660-BD904A66F6EF}</b:Guid>
    <b:Author>
      <b:Author>
        <b:NameList>
          <b:Person>
            <b:Last>Hood</b:Last>
            <b:First>Daniel</b:First>
          </b:Person>
        </b:NameList>
      </b:Author>
    </b:Author>
    <b:Title>A new eye on audit quality</b:Title>
    <b:Year>2021</b:Year>
    <b:Month>March</b:Month>
    <b:Day>29</b:Day>
    <b:YearAccessed>2021</b:YearAccessed>
    <b:MonthAccessed>May</b:MonthAccessed>
    <b:DayAccessed>9</b:DayAccessed>
    <b:URL>https://www.accountingtoday.com/news/a-new-eye-on-audit-quality</b:URL>
    <b:RefOrder>6</b:RefOrder>
  </b:Source>
  <b:Source>
    <b:Tag>Air18</b:Tag>
    <b:SourceType>Report</b:SourceType>
    <b:Guid>{DB07ABEB-7CD8-4755-ABE8-79D10150EF16}</b:Guid>
    <b:Author>
      <b:Author>
        <b:Corporate>Air Force Audit Agency</b:Corporate>
      </b:Author>
    </b:Author>
    <b:Title>Audit Service Execution, AFAAI65-101</b:Title>
    <b:Year>2018</b:Year>
    <b:Publisher>Office of Headquarters Financial Management</b:Publisher>
    <b:City>Washington, DC</b:City>
    <b:RefOrder>3</b:RefOrder>
  </b:Source>
  <b:Source>
    <b:Tag>Air181</b:Tag>
    <b:SourceType>Report</b:SourceType>
    <b:Guid>{E9DA0BD4-2AB7-4DF3-8DD5-388FD05AA50F}</b:Guid>
    <b:Title>Internal Audit Services, AFI65-301</b:Title>
    <b:Year>2018</b:Year>
    <b:Author>
      <b:Author>
        <b:Corporate>Air Force Audit Agency</b:Corporate>
      </b:Author>
    </b:Author>
    <b:Publisher>Office of Headquarters Financial Management</b:Publisher>
    <b:City>Washington, D.C.</b:City>
    <b:RefOrder>1</b:RefOrder>
  </b:Source>
  <b:Source>
    <b:Tag>Haj17</b:Tag>
    <b:SourceType>JournalArticle</b:SourceType>
    <b:Guid>{BA6DC7D3-6A85-44A6-927E-B0F7B96A324B}</b:Guid>
    <b:Author>
      <b:Author>
        <b:NameList>
          <b:Person>
            <b:Last>Hajek</b:Last>
            <b:First>Petr</b:First>
          </b:Person>
          <b:Person>
            <b:Last>Henriques</b:Last>
            <b:First>Roberto</b:First>
          </b:Person>
        </b:NameList>
      </b:Author>
    </b:Author>
    <b:Title>Mining corporate annual reports for intelligent detection of financial staement fraud - A comparative study of machine learning methods</b:Title>
    <b:JournalName>Knowledge-Based Systems</b:JournalName>
    <b:Year>2017</b:Year>
    <b:Pages>139-152</b:Pages>
    <b:Volume>128</b:Volume>
    <b:RefOrder>7</b:RefOrder>
  </b:Source>
  <b:Source>
    <b:Tag>Men19</b:Tag>
    <b:SourceType>JournalArticle</b:SourceType>
    <b:Guid>{4338C201-443E-424A-98F5-A2CDA7624F1A}</b:Guid>
    <b:Author>
      <b:Author>
        <b:NameList>
          <b:Person>
            <b:Last>Meng</b:Last>
            <b:First>Yiwen</b:First>
          </b:Person>
          <b:Person>
            <b:Last>Speier</b:Last>
            <b:First>William</b:First>
          </b:Person>
          <b:Person>
            <b:Last>Shufelt</b:Last>
            <b:First>Chrisandra</b:First>
          </b:Person>
          <b:Person>
            <b:Last>Joung</b:Last>
            <b:First>Sandy</b:First>
          </b:Person>
          <b:Person>
            <b:Last>Van Eyk</b:Last>
            <b:First>Jennifer</b:First>
          </b:Person>
          <b:Person>
            <b:Last>Merz</b:Last>
            <b:First>C.</b:First>
            <b:Middle>Noel</b:Middle>
          </b:Person>
          <b:Person>
            <b:Last>Lopez</b:Last>
            <b:First>Mayra</b:First>
          </b:Person>
          <b:Person>
            <b:Last>Spiegel</b:Last>
            <b:First>Brennan</b:First>
          </b:Person>
          <b:Person>
            <b:Last>Arnold</b:Last>
            <b:First>Corey</b:First>
          </b:Person>
        </b:NameList>
      </b:Author>
    </b:Author>
    <b:Title>A Machine Learning Approach to Classifying Self-Reported Health Status in a Cohort of Patients With Heart Disease Using Activity Tracker Data</b:Title>
    <b:JournalName>IEEE Journal of Biomedical and Health Informatics</b:JournalName>
    <b:Year>2019</b:Year>
    <b:Pages>878-884</b:Pages>
    <b:Volume>24</b:Volume>
    <b:Issue>3</b:Issue>
    <b:RefOrder>8</b:RefOrder>
  </b:Source>
  <b:Source>
    <b:Tag>Joh19</b:Tag>
    <b:SourceType>JournalArticle</b:SourceType>
    <b:Guid>{ED06EA8C-BA62-4F7C-8775-06220E3E476B}</b:Guid>
    <b:Author>
      <b:Author>
        <b:NameList>
          <b:Person>
            <b:Last>Johnson</b:Last>
            <b:First>Justin</b:First>
          </b:Person>
          <b:Person>
            <b:Last>Khoshgoftaar</b:Last>
            <b:First>Taghi</b:First>
          </b:Person>
        </b:NameList>
      </b:Author>
    </b:Author>
    <b:Title>Medicare fraud detection using neural networks</b:Title>
    <b:JournalName>Journal of Big Data</b:JournalName>
    <b:Year>2019</b:Year>
    <b:Volume>6</b:Volume>
    <b:Issue>1</b:Issue>
    <b:RefOrder>9</b:RefOrder>
  </b:Source>
  <b:Source>
    <b:Tag>Dau19</b:Tag>
    <b:SourceType>DocumentFromInternetSite</b:SourceType>
    <b:Guid>{2CE712FE-2F77-4518-982D-C54E94926A97}</b:Guid>
    <b:Title>Looking at R-Squared</b:Title>
    <b:Year>2019</b:Year>
    <b:Author>
      <b:Author>
        <b:NameList>
          <b:Person>
            <b:Last>Dauria</b:Last>
            <b:First>Erika</b:First>
          </b:Person>
        </b:NameList>
      </b:Author>
    </b:Author>
    <b:Month>May</b:Month>
    <b:Day>13</b:Day>
    <b:YearAccessed>2021</b:YearAccessed>
    <b:MonthAccessed>May</b:MonthAccessed>
    <b:DayAccessed>29</b:DayAccessed>
    <b:URL>https://medium.com/@erika.dauria/looking-at-r-squared-721252709098</b:URL>
    <b:RefOrder>10</b:RefOrder>
  </b:Source>
</b:Sources>
</file>

<file path=customXml/itemProps1.xml><?xml version="1.0" encoding="utf-8"?>
<ds:datastoreItem xmlns:ds="http://schemas.openxmlformats.org/officeDocument/2006/customXml" ds:itemID="{9C4384B2-255F-AE48-B045-12FBC423B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4075</Words>
  <Characters>21867</Characters>
  <Application>Microsoft Office Word</Application>
  <DocSecurity>0</DocSecurity>
  <Lines>629</Lines>
  <Paragraphs>196</Paragraphs>
  <ScaleCrop>false</ScaleCrop>
  <HeadingPairs>
    <vt:vector size="2" baseType="variant">
      <vt:variant>
        <vt:lpstr>Title</vt:lpstr>
      </vt:variant>
      <vt:variant>
        <vt:i4>1</vt:i4>
      </vt:variant>
    </vt:vector>
  </HeadingPairs>
  <TitlesOfParts>
    <vt:vector size="1" baseType="lpstr">
      <vt:lpstr>Submission Format for IMS2004 (Title in 18-point Times font)</vt:lpstr>
    </vt:vector>
  </TitlesOfParts>
  <Manager/>
  <Company>Rochester Institute of Technology</Company>
  <LinksUpToDate>false</LinksUpToDate>
  <CharactersWithSpaces>25951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Format for IMS2004 (Title in 18-point Times font)</dc:title>
  <dc:subject/>
  <dc:creator>-</dc:creator>
  <cp:keywords/>
  <dc:description/>
  <cp:lastModifiedBy>Torrey Wagner</cp:lastModifiedBy>
  <cp:revision>4</cp:revision>
  <cp:lastPrinted>2018-12-12T15:05:00Z</cp:lastPrinted>
  <dcterms:created xsi:type="dcterms:W3CDTF">2021-07-26T20:32:00Z</dcterms:created>
  <dcterms:modified xsi:type="dcterms:W3CDTF">2021-07-26T20:33:00Z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http://www.zotero.org/styles/ieee</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http://www.zotero.org/styles/american-sociological-association</vt:lpwstr>
  </property>
  <property fmtid="{D5CDD505-2E9C-101B-9397-08002B2CF9AE}" pid="13" name="Mendeley Recent Style Id 4_1">
    <vt:lpwstr>http://www.zotero.org/styles/chicago-author-date</vt:lpwstr>
  </property>
  <property fmtid="{D5CDD505-2E9C-101B-9397-08002B2CF9AE}" pid="14" name="Mendeley Recent Style Id 5_1">
    <vt:lpwstr>http://www.zotero.org/styles/harvard-cite-them-right</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Medical Association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6th edition</vt:lpwstr>
  </property>
  <property fmtid="{D5CDD505-2E9C-101B-9397-08002B2CF9AE}" pid="22" name="Mendeley Recent Style Name 3_1">
    <vt:lpwstr>American Sociological Association</vt:lpwstr>
  </property>
  <property fmtid="{D5CDD505-2E9C-101B-9397-08002B2CF9AE}" pid="23" name="Mendeley Recent Style Name 4_1">
    <vt:lpwstr>Chicago Manual of Style 17th edition (author-date)</vt:lpwstr>
  </property>
  <property fmtid="{D5CDD505-2E9C-101B-9397-08002B2CF9AE}" pid="24" name="Mendeley Recent Style Name 5_1">
    <vt:lpwstr>Cite Them Right 10th edition - Harvard</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8th edition</vt:lpwstr>
  </property>
  <property fmtid="{D5CDD505-2E9C-101B-9397-08002B2CF9AE}" pid="28" name="Mendeley Recent Style Name 9_1">
    <vt:lpwstr>Nature</vt:lpwstr>
  </property>
  <property fmtid="{D5CDD505-2E9C-101B-9397-08002B2CF9AE}" pid="29" name="Mendeley Unique User Id_1">
    <vt:lpwstr>0c74656c-b12e-3687-933c-6d4f34370c58</vt:lpwstr>
  </property>
  <property fmtid="{D5CDD505-2E9C-101B-9397-08002B2CF9AE}" pid="30" name="ScaleCrop">
    <vt:bool>false</vt:bool>
  </property>
  <property fmtid="{D5CDD505-2E9C-101B-9397-08002B2CF9AE}" pid="31" name="ShareDoc">
    <vt:bool>false</vt:bool>
  </property>
</Properties>
</file>