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48" w:rsidRPr="00971D0E" w:rsidRDefault="00943F48" w:rsidP="00943F48">
      <w:pPr>
        <w:spacing w:before="255" w:after="255" w:line="285" w:lineRule="atLeast"/>
        <w:ind w:left="600" w:right="75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943F48" w:rsidRPr="00971D0E" w:rsidRDefault="00943F48" w:rsidP="00943F48">
      <w:pPr>
        <w:spacing w:before="255" w:after="255" w:line="285" w:lineRule="atLeast"/>
        <w:ind w:left="600" w:right="75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36"/>
          <w:sz w:val="52"/>
          <w:szCs w:val="52"/>
        </w:rPr>
      </w:pPr>
      <w:r w:rsidRPr="00971D0E">
        <w:rPr>
          <w:rFonts w:ascii="Times New Roman" w:eastAsia="Times New Roman" w:hAnsi="Times New Roman" w:cs="Times New Roman"/>
          <w:b/>
          <w:bCs/>
          <w:color w:val="FFFFFF" w:themeColor="background1"/>
          <w:kern w:val="36"/>
          <w:sz w:val="52"/>
          <w:szCs w:val="52"/>
          <w:highlight w:val="darkBlue"/>
        </w:rPr>
        <w:t>Services</w:t>
      </w:r>
    </w:p>
    <w:p w:rsidR="00943F48" w:rsidRDefault="00943F48" w:rsidP="00943F48">
      <w:pPr>
        <w:spacing w:before="255" w:after="255" w:line="285" w:lineRule="atLeast"/>
        <w:ind w:left="600" w:right="75"/>
        <w:outlineLvl w:val="0"/>
        <w:rPr>
          <w:rFonts w:ascii="Times New Roman" w:eastAsia="Times New Roman" w:hAnsi="Times New Roman" w:cs="Times New Roman"/>
          <w:b/>
          <w:bCs/>
          <w:color w:val="EA5A14"/>
          <w:kern w:val="36"/>
          <w:sz w:val="24"/>
          <w:szCs w:val="24"/>
        </w:rPr>
      </w:pPr>
    </w:p>
    <w:p w:rsidR="00943F48" w:rsidRPr="009A3418" w:rsidRDefault="00943F48" w:rsidP="00943F48">
      <w:pPr>
        <w:spacing w:before="255" w:after="255" w:line="285" w:lineRule="atLeast"/>
        <w:ind w:left="600" w:right="75"/>
        <w:outlineLvl w:val="0"/>
        <w:rPr>
          <w:rFonts w:ascii="Times New Roman" w:eastAsia="Times New Roman" w:hAnsi="Times New Roman" w:cs="Times New Roman"/>
          <w:b/>
          <w:bCs/>
          <w:color w:val="191C1C"/>
          <w:kern w:val="36"/>
          <w:sz w:val="24"/>
          <w:szCs w:val="24"/>
        </w:rPr>
      </w:pPr>
      <w:r w:rsidRPr="009A3418">
        <w:rPr>
          <w:rFonts w:ascii="Times New Roman" w:eastAsia="Times New Roman" w:hAnsi="Times New Roman" w:cs="Times New Roman"/>
          <w:b/>
          <w:bCs/>
          <w:color w:val="EA5A14"/>
          <w:kern w:val="36"/>
          <w:sz w:val="24"/>
          <w:szCs w:val="24"/>
        </w:rPr>
        <w:t>Individual Taxation</w:t>
      </w:r>
    </w:p>
    <w:p w:rsidR="00943F48" w:rsidRPr="009A3418" w:rsidRDefault="00943F48" w:rsidP="00943F48">
      <w:pPr>
        <w:spacing w:before="100" w:beforeAutospacing="1" w:after="100" w:afterAutospacing="1" w:line="285" w:lineRule="atLeast"/>
        <w:ind w:left="600"/>
        <w:rPr>
          <w:rFonts w:ascii="Times New Roman" w:eastAsia="Times New Roman" w:hAnsi="Times New Roman" w:cs="Times New Roman"/>
          <w:color w:val="384245"/>
          <w:sz w:val="18"/>
          <w:szCs w:val="18"/>
        </w:rPr>
      </w:pPr>
      <w:r w:rsidRPr="009A3418">
        <w:rPr>
          <w:rFonts w:ascii="Times New Roman" w:eastAsia="Times New Roman" w:hAnsi="Times New Roman" w:cs="Times New Roman"/>
          <w:color w:val="384245"/>
          <w:sz w:val="18"/>
          <w:szCs w:val="18"/>
        </w:rPr>
        <w:t xml:space="preserve">Our </w:t>
      </w:r>
      <w:r w:rsidRPr="009A3418">
        <w:rPr>
          <w:rFonts w:ascii="Times New Roman" w:eastAsia="Times New Roman" w:hAnsi="Times New Roman" w:cs="Times New Roman"/>
          <w:color w:val="4F94C1"/>
          <w:sz w:val="18"/>
          <w:szCs w:val="18"/>
        </w:rPr>
        <w:t xml:space="preserve">Tax Advisory Experts </w:t>
      </w:r>
      <w:r>
        <w:rPr>
          <w:rFonts w:ascii="Times New Roman" w:eastAsia="Times New Roman" w:hAnsi="Times New Roman" w:cs="Times New Roman"/>
          <w:color w:val="384245"/>
          <w:sz w:val="18"/>
          <w:szCs w:val="18"/>
        </w:rPr>
        <w:t xml:space="preserve">for US </w:t>
      </w:r>
      <w:r w:rsidRPr="009A3418">
        <w:rPr>
          <w:rFonts w:ascii="Times New Roman" w:eastAsia="Times New Roman" w:hAnsi="Times New Roman" w:cs="Times New Roman"/>
          <w:color w:val="384245"/>
          <w:sz w:val="18"/>
          <w:szCs w:val="18"/>
        </w:rPr>
        <w:t xml:space="preserve">are proficient to identify specific areas for reducing your tax liabilities and provide clear direction for maximizing your net income. We assist you in all steps of tax filling namely; </w:t>
      </w:r>
    </w:p>
    <w:p w:rsidR="00943F48" w:rsidRPr="009A3418" w:rsidRDefault="00943F48" w:rsidP="00943F48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384245"/>
          <w:sz w:val="17"/>
          <w:szCs w:val="17"/>
        </w:rPr>
      </w:pPr>
      <w:r w:rsidRPr="009A3418">
        <w:rPr>
          <w:rFonts w:ascii="Times New Roman" w:eastAsia="Times New Roman" w:hAnsi="Times New Roman" w:cs="Times New Roman"/>
          <w:color w:val="384245"/>
          <w:sz w:val="20"/>
          <w:szCs w:val="20"/>
        </w:rPr>
        <w:t>Filling up the required forms</w:t>
      </w:r>
      <w:r w:rsidRPr="009A3418">
        <w:rPr>
          <w:rFonts w:ascii="Times New Roman" w:eastAsia="Times New Roman" w:hAnsi="Times New Roman" w:cs="Times New Roman"/>
          <w:color w:val="384245"/>
          <w:sz w:val="17"/>
          <w:szCs w:val="17"/>
        </w:rPr>
        <w:t xml:space="preserve"> </w:t>
      </w:r>
    </w:p>
    <w:p w:rsidR="00943F48" w:rsidRPr="009A3418" w:rsidRDefault="00943F48" w:rsidP="00943F48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384245"/>
          <w:sz w:val="17"/>
          <w:szCs w:val="17"/>
        </w:rPr>
      </w:pPr>
      <w:r w:rsidRPr="009A3418">
        <w:rPr>
          <w:rFonts w:ascii="Times New Roman" w:eastAsia="Times New Roman" w:hAnsi="Times New Roman" w:cs="Times New Roman"/>
          <w:color w:val="384245"/>
          <w:sz w:val="20"/>
          <w:szCs w:val="20"/>
        </w:rPr>
        <w:t>Looking for all possible deductions including mortgage interest, education, medical expenses, charity and more</w:t>
      </w:r>
      <w:r w:rsidRPr="009A3418">
        <w:rPr>
          <w:rFonts w:ascii="Times New Roman" w:eastAsia="Times New Roman" w:hAnsi="Times New Roman" w:cs="Times New Roman"/>
          <w:color w:val="384245"/>
          <w:sz w:val="17"/>
          <w:szCs w:val="17"/>
        </w:rPr>
        <w:t xml:space="preserve"> </w:t>
      </w:r>
    </w:p>
    <w:p w:rsidR="00943F48" w:rsidRPr="009A3418" w:rsidRDefault="00943F48" w:rsidP="00943F48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384245"/>
          <w:sz w:val="17"/>
          <w:szCs w:val="17"/>
        </w:rPr>
      </w:pPr>
      <w:r w:rsidRPr="009A3418">
        <w:rPr>
          <w:rFonts w:ascii="Times New Roman" w:eastAsia="Times New Roman" w:hAnsi="Times New Roman" w:cs="Times New Roman"/>
          <w:color w:val="384245"/>
          <w:sz w:val="20"/>
          <w:szCs w:val="20"/>
        </w:rPr>
        <w:t>Handling effects of events in your life during tax year such as buying a new home, getting married, having a baby etc.</w:t>
      </w:r>
      <w:r w:rsidRPr="009A3418">
        <w:rPr>
          <w:rFonts w:ascii="Times New Roman" w:eastAsia="Times New Roman" w:hAnsi="Times New Roman" w:cs="Times New Roman"/>
          <w:color w:val="384245"/>
          <w:sz w:val="17"/>
          <w:szCs w:val="17"/>
        </w:rPr>
        <w:t xml:space="preserve"> </w:t>
      </w:r>
    </w:p>
    <w:p w:rsidR="00943F48" w:rsidRPr="009A3418" w:rsidRDefault="00943F48" w:rsidP="00943F48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384245"/>
          <w:sz w:val="17"/>
          <w:szCs w:val="17"/>
        </w:rPr>
      </w:pPr>
      <w:r w:rsidRPr="009A3418">
        <w:rPr>
          <w:rFonts w:ascii="Times New Roman" w:eastAsia="Times New Roman" w:hAnsi="Times New Roman" w:cs="Times New Roman"/>
          <w:color w:val="384245"/>
          <w:sz w:val="20"/>
          <w:szCs w:val="20"/>
        </w:rPr>
        <w:t>Helping in reporting stock, bond, mutual funds, employee stock options etc.</w:t>
      </w:r>
      <w:r w:rsidRPr="009A3418">
        <w:rPr>
          <w:rFonts w:ascii="Times New Roman" w:eastAsia="Times New Roman" w:hAnsi="Times New Roman" w:cs="Times New Roman"/>
          <w:color w:val="384245"/>
          <w:sz w:val="17"/>
          <w:szCs w:val="17"/>
        </w:rPr>
        <w:t xml:space="preserve"> </w:t>
      </w:r>
    </w:p>
    <w:p w:rsidR="00943F48" w:rsidRPr="009A3418" w:rsidRDefault="00943F48" w:rsidP="00943F48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384245"/>
          <w:sz w:val="17"/>
          <w:szCs w:val="17"/>
        </w:rPr>
      </w:pPr>
      <w:r w:rsidRPr="009A3418">
        <w:rPr>
          <w:rFonts w:ascii="Times New Roman" w:eastAsia="Times New Roman" w:hAnsi="Times New Roman" w:cs="Times New Roman"/>
          <w:color w:val="384245"/>
          <w:sz w:val="20"/>
          <w:szCs w:val="20"/>
        </w:rPr>
        <w:t>Finding deductions for rental property owners, including travel, advertising, refinancing expenses etc.</w:t>
      </w:r>
      <w:r w:rsidRPr="009A3418">
        <w:rPr>
          <w:rFonts w:ascii="Times New Roman" w:eastAsia="Times New Roman" w:hAnsi="Times New Roman" w:cs="Times New Roman"/>
          <w:color w:val="384245"/>
          <w:sz w:val="17"/>
          <w:szCs w:val="17"/>
        </w:rPr>
        <w:t xml:space="preserve"> </w:t>
      </w:r>
    </w:p>
    <w:p w:rsidR="00943F48" w:rsidRPr="009A3418" w:rsidRDefault="00943F48" w:rsidP="00943F48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384245"/>
          <w:sz w:val="17"/>
          <w:szCs w:val="17"/>
        </w:rPr>
      </w:pPr>
      <w:r w:rsidRPr="009A3418">
        <w:rPr>
          <w:rFonts w:ascii="Times New Roman" w:eastAsia="Times New Roman" w:hAnsi="Times New Roman" w:cs="Times New Roman"/>
          <w:color w:val="384245"/>
          <w:sz w:val="20"/>
          <w:szCs w:val="20"/>
        </w:rPr>
        <w:t>Providing special guidance for sole proprietors, consultants, contractors, e-bay sellers etc.</w:t>
      </w:r>
      <w:r w:rsidRPr="009A3418">
        <w:rPr>
          <w:rFonts w:ascii="Times New Roman" w:eastAsia="Times New Roman" w:hAnsi="Times New Roman" w:cs="Times New Roman"/>
          <w:color w:val="384245"/>
          <w:sz w:val="17"/>
          <w:szCs w:val="17"/>
        </w:rPr>
        <w:t xml:space="preserve"> </w:t>
      </w:r>
    </w:p>
    <w:p w:rsidR="00943F48" w:rsidRPr="009A3418" w:rsidRDefault="00943F48" w:rsidP="00943F48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384245"/>
          <w:sz w:val="17"/>
          <w:szCs w:val="17"/>
        </w:rPr>
      </w:pPr>
      <w:r w:rsidRPr="009A3418">
        <w:rPr>
          <w:rFonts w:ascii="Times New Roman" w:eastAsia="Times New Roman" w:hAnsi="Times New Roman" w:cs="Times New Roman"/>
          <w:color w:val="384245"/>
          <w:sz w:val="20"/>
          <w:szCs w:val="20"/>
        </w:rPr>
        <w:t>Helping you maximize business deductions like vehicle, supplies, utilities, advertising, home office etc.</w:t>
      </w:r>
      <w:r w:rsidRPr="009A3418">
        <w:rPr>
          <w:rFonts w:ascii="Times New Roman" w:eastAsia="Times New Roman" w:hAnsi="Times New Roman" w:cs="Times New Roman"/>
          <w:color w:val="384245"/>
          <w:sz w:val="17"/>
          <w:szCs w:val="17"/>
        </w:rPr>
        <w:t xml:space="preserve"> </w:t>
      </w:r>
    </w:p>
    <w:p w:rsidR="00943F48" w:rsidRPr="009A3418" w:rsidRDefault="00943F48" w:rsidP="00943F48">
      <w:pPr>
        <w:numPr>
          <w:ilvl w:val="0"/>
          <w:numId w:val="1"/>
        </w:numPr>
        <w:spacing w:after="100" w:line="300" w:lineRule="atLeast"/>
        <w:ind w:left="1020"/>
        <w:rPr>
          <w:rFonts w:ascii="Times New Roman" w:eastAsia="Times New Roman" w:hAnsi="Times New Roman" w:cs="Times New Roman"/>
          <w:color w:val="384245"/>
          <w:sz w:val="17"/>
          <w:szCs w:val="17"/>
        </w:rPr>
      </w:pPr>
      <w:r w:rsidRPr="009A3418">
        <w:rPr>
          <w:rFonts w:ascii="Times New Roman" w:eastAsia="Times New Roman" w:hAnsi="Times New Roman" w:cs="Times New Roman"/>
          <w:color w:val="384245"/>
          <w:sz w:val="20"/>
          <w:szCs w:val="20"/>
        </w:rPr>
        <w:t>Preparing other required forms</w:t>
      </w:r>
    </w:p>
    <w:p w:rsidR="00943F48" w:rsidRPr="00BB1004" w:rsidRDefault="00943F48" w:rsidP="00943F48">
      <w:pPr>
        <w:spacing w:after="0" w:line="288" w:lineRule="atLeast"/>
        <w:outlineLvl w:val="1"/>
        <w:rPr>
          <w:rFonts w:ascii="Arial" w:eastAsia="Times New Roman" w:hAnsi="Arial" w:cs="Arial"/>
          <w:color w:val="329DBE"/>
          <w:kern w:val="36"/>
          <w:sz w:val="29"/>
          <w:szCs w:val="29"/>
        </w:rPr>
      </w:pPr>
    </w:p>
    <w:p w:rsidR="00943F48" w:rsidRPr="00BB1004" w:rsidRDefault="00943F48" w:rsidP="00943F48">
      <w:pPr>
        <w:spacing w:after="0" w:line="336" w:lineRule="atLeast"/>
        <w:outlineLvl w:val="2"/>
        <w:rPr>
          <w:rFonts w:ascii="Arial" w:eastAsia="Times New Roman" w:hAnsi="Arial" w:cs="Arial"/>
          <w:b/>
          <w:bCs/>
          <w:color w:val="329DBE"/>
          <w:sz w:val="21"/>
          <w:szCs w:val="21"/>
        </w:rPr>
      </w:pPr>
      <w:r w:rsidRPr="00BB1004">
        <w:rPr>
          <w:rFonts w:ascii="Arial" w:eastAsia="Times New Roman" w:hAnsi="Arial" w:cs="Arial"/>
          <w:b/>
          <w:bCs/>
          <w:color w:val="329DBE"/>
          <w:sz w:val="21"/>
          <w:szCs w:val="21"/>
        </w:rPr>
        <w:t xml:space="preserve">What tax processing services do we offer? </w:t>
      </w:r>
    </w:p>
    <w:p w:rsidR="00943F48" w:rsidRPr="00BB1004" w:rsidRDefault="00943F48" w:rsidP="00943F48">
      <w:pPr>
        <w:spacing w:after="0" w:line="336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We offer tax preparation services for the following: </w:t>
      </w:r>
    </w:p>
    <w:p w:rsidR="00943F48" w:rsidRPr="00BB1004" w:rsidRDefault="00943F48" w:rsidP="00943F48">
      <w:pPr>
        <w:spacing w:after="0" w:line="336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Form 1040 - For individuals </w:t>
      </w:r>
    </w:p>
    <w:p w:rsidR="00943F48" w:rsidRPr="00BB1004" w:rsidRDefault="00943F48" w:rsidP="00943F48">
      <w:pPr>
        <w:spacing w:after="0" w:line="336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Form 1065 - For Partnerships </w:t>
      </w:r>
    </w:p>
    <w:p w:rsidR="00943F48" w:rsidRPr="00BB1004" w:rsidRDefault="00943F48" w:rsidP="00943F48">
      <w:pPr>
        <w:spacing w:after="0" w:line="336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Form 1120 - For Companies and Corporations </w:t>
      </w:r>
    </w:p>
    <w:p w:rsidR="00943F48" w:rsidRPr="00BB1004" w:rsidRDefault="00943F48" w:rsidP="00943F48">
      <w:pPr>
        <w:spacing w:after="0" w:line="336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We have experience in both individual tax preparation services and business tax preparation services. </w:t>
      </w:r>
    </w:p>
    <w:p w:rsidR="00943F48" w:rsidRPr="00BB1004" w:rsidRDefault="00943F48" w:rsidP="00943F48">
      <w:pPr>
        <w:spacing w:after="0" w:line="336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>We will examine your balance sheets, interpret and classify each item on it. We will also classify and interpret P/L items, and interpret the taxability and treatment of various accounts. We can also provide sales tax liability services</w:t>
      </w:r>
    </w:p>
    <w:p w:rsidR="00943F48" w:rsidRDefault="00943F48" w:rsidP="00943F48">
      <w:pPr>
        <w:pStyle w:val="ListParagraph"/>
      </w:pPr>
    </w:p>
    <w:p w:rsidR="00943F48" w:rsidRDefault="00943F48" w:rsidP="00943F48">
      <w:pPr>
        <w:pStyle w:val="ListParagraph"/>
      </w:pPr>
    </w:p>
    <w:p w:rsidR="00943F48" w:rsidRDefault="00943F48" w:rsidP="00943F48">
      <w:pPr>
        <w:pStyle w:val="ListParagraph"/>
      </w:pPr>
    </w:p>
    <w:p w:rsidR="00943F48" w:rsidRPr="00BB1004" w:rsidRDefault="00943F48" w:rsidP="00943F48">
      <w:pPr>
        <w:spacing w:after="0" w:line="336" w:lineRule="atLeast"/>
        <w:outlineLvl w:val="2"/>
        <w:rPr>
          <w:rFonts w:ascii="Arial" w:eastAsia="Times New Roman" w:hAnsi="Arial" w:cs="Arial"/>
          <w:b/>
          <w:bCs/>
          <w:color w:val="329DBE"/>
          <w:sz w:val="21"/>
          <w:szCs w:val="21"/>
        </w:rPr>
      </w:pPr>
      <w:r w:rsidRPr="00BB1004">
        <w:rPr>
          <w:rFonts w:ascii="Arial" w:eastAsia="Times New Roman" w:hAnsi="Arial" w:cs="Arial"/>
          <w:b/>
          <w:bCs/>
          <w:color w:val="329DBE"/>
          <w:sz w:val="21"/>
          <w:szCs w:val="21"/>
        </w:rPr>
        <w:t>We also provide tax preparation services for federal and state tax returns, as follows</w:t>
      </w:r>
    </w:p>
    <w:p w:rsidR="00943F48" w:rsidRPr="00BB1004" w:rsidRDefault="00943F48" w:rsidP="00943F48">
      <w:pPr>
        <w:spacing w:after="0" w:line="336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b/>
          <w:bCs/>
          <w:color w:val="585858"/>
          <w:sz w:val="19"/>
          <w:szCs w:val="19"/>
        </w:rPr>
        <w:t>FEDERAL</w:t>
      </w:r>
    </w:p>
    <w:p w:rsidR="00943F48" w:rsidRPr="00BB1004" w:rsidRDefault="00943F48" w:rsidP="00943F48">
      <w:pPr>
        <w:numPr>
          <w:ilvl w:val="0"/>
          <w:numId w:val="2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Individual Income Taxes </w:t>
      </w:r>
    </w:p>
    <w:p w:rsidR="00943F48" w:rsidRPr="00BB1004" w:rsidRDefault="00943F48" w:rsidP="00943F48">
      <w:pPr>
        <w:numPr>
          <w:ilvl w:val="0"/>
          <w:numId w:val="2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‘C' Corporation Income Taxes </w:t>
      </w:r>
    </w:p>
    <w:p w:rsidR="00943F48" w:rsidRPr="00BB1004" w:rsidRDefault="00943F48" w:rsidP="00943F48">
      <w:pPr>
        <w:numPr>
          <w:ilvl w:val="0"/>
          <w:numId w:val="2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‘S' Corporation Income Taxes </w:t>
      </w:r>
    </w:p>
    <w:p w:rsidR="00943F48" w:rsidRPr="00BB1004" w:rsidRDefault="00943F48" w:rsidP="00943F48">
      <w:pPr>
        <w:numPr>
          <w:ilvl w:val="0"/>
          <w:numId w:val="2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lastRenderedPageBreak/>
        <w:t xml:space="preserve">Partnership Income Taxes </w:t>
      </w:r>
    </w:p>
    <w:p w:rsidR="00943F48" w:rsidRPr="00BB1004" w:rsidRDefault="00943F48" w:rsidP="00943F48">
      <w:pPr>
        <w:numPr>
          <w:ilvl w:val="0"/>
          <w:numId w:val="2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Fiduciary Income Taxes </w:t>
      </w:r>
    </w:p>
    <w:p w:rsidR="00943F48" w:rsidRPr="00BB1004" w:rsidRDefault="00943F48" w:rsidP="00943F48">
      <w:pPr>
        <w:numPr>
          <w:ilvl w:val="0"/>
          <w:numId w:val="2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Non-Profit Corporation Taxes </w:t>
      </w:r>
    </w:p>
    <w:p w:rsidR="00943F48" w:rsidRPr="00BB1004" w:rsidRDefault="00943F48" w:rsidP="00943F48">
      <w:pPr>
        <w:numPr>
          <w:ilvl w:val="0"/>
          <w:numId w:val="2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Heavy Equipment Use Taxes </w:t>
      </w:r>
    </w:p>
    <w:p w:rsidR="00943F48" w:rsidRPr="00BB1004" w:rsidRDefault="00943F48" w:rsidP="00943F48">
      <w:pPr>
        <w:spacing w:after="0" w:line="336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b/>
          <w:bCs/>
          <w:color w:val="585858"/>
          <w:sz w:val="19"/>
          <w:szCs w:val="19"/>
        </w:rPr>
        <w:t xml:space="preserve">STATE </w:t>
      </w:r>
    </w:p>
    <w:p w:rsidR="00943F48" w:rsidRPr="00BB1004" w:rsidRDefault="00943F48" w:rsidP="00943F48">
      <w:pPr>
        <w:numPr>
          <w:ilvl w:val="0"/>
          <w:numId w:val="3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Individual Income Taxes (for all states) </w:t>
      </w:r>
    </w:p>
    <w:p w:rsidR="00943F48" w:rsidRPr="00BB1004" w:rsidRDefault="00943F48" w:rsidP="00943F48">
      <w:pPr>
        <w:numPr>
          <w:ilvl w:val="0"/>
          <w:numId w:val="3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Corporation Income Taxes </w:t>
      </w:r>
    </w:p>
    <w:p w:rsidR="00943F48" w:rsidRPr="00BB1004" w:rsidRDefault="00943F48" w:rsidP="00943F48">
      <w:pPr>
        <w:numPr>
          <w:ilvl w:val="0"/>
          <w:numId w:val="3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Partnership Income Taxes </w:t>
      </w:r>
    </w:p>
    <w:p w:rsidR="00943F48" w:rsidRPr="00BB1004" w:rsidRDefault="00943F48" w:rsidP="00943F48">
      <w:pPr>
        <w:numPr>
          <w:ilvl w:val="0"/>
          <w:numId w:val="3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Intangible Taxes </w:t>
      </w:r>
    </w:p>
    <w:p w:rsidR="00943F48" w:rsidRPr="00BB1004" w:rsidRDefault="00943F48" w:rsidP="00943F48">
      <w:pPr>
        <w:numPr>
          <w:ilvl w:val="0"/>
          <w:numId w:val="3"/>
        </w:numPr>
        <w:spacing w:after="0" w:line="336" w:lineRule="atLeast"/>
        <w:ind w:left="240"/>
        <w:rPr>
          <w:rFonts w:ascii="Arial" w:eastAsia="Times New Roman" w:hAnsi="Arial" w:cs="Arial"/>
          <w:color w:val="333333"/>
          <w:sz w:val="19"/>
          <w:szCs w:val="19"/>
        </w:rPr>
      </w:pPr>
      <w:r w:rsidRPr="00BB1004">
        <w:rPr>
          <w:rFonts w:ascii="Arial" w:eastAsia="Times New Roman" w:hAnsi="Arial" w:cs="Arial"/>
          <w:color w:val="333333"/>
          <w:sz w:val="19"/>
          <w:szCs w:val="19"/>
        </w:rPr>
        <w:t xml:space="preserve">Tangible Taxes </w:t>
      </w:r>
    </w:p>
    <w:p w:rsidR="00943F48" w:rsidRDefault="00943F48" w:rsidP="00943F48">
      <w:r w:rsidRPr="00BB1004">
        <w:rPr>
          <w:rFonts w:ascii="Arial" w:eastAsia="Times New Roman" w:hAnsi="Arial" w:cs="Arial"/>
          <w:color w:val="333333"/>
          <w:sz w:val="19"/>
          <w:szCs w:val="19"/>
        </w:rPr>
        <w:t>Charter/Franchise Taxes</w:t>
      </w:r>
    </w:p>
    <w:p w:rsidR="00A72B92" w:rsidRDefault="00943F48"/>
    <w:sectPr w:rsidR="00A72B92" w:rsidSect="006D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F785E"/>
    <w:multiLevelType w:val="multilevel"/>
    <w:tmpl w:val="0B6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31C05"/>
    <w:multiLevelType w:val="multilevel"/>
    <w:tmpl w:val="6B1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835FC"/>
    <w:multiLevelType w:val="multilevel"/>
    <w:tmpl w:val="7802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943F48"/>
    <w:rsid w:val="006D04CD"/>
    <w:rsid w:val="00943F48"/>
    <w:rsid w:val="00983D9A"/>
    <w:rsid w:val="00B2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Company>Acer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</cp:revision>
  <dcterms:created xsi:type="dcterms:W3CDTF">2011-12-12T13:04:00Z</dcterms:created>
  <dcterms:modified xsi:type="dcterms:W3CDTF">2011-12-12T13:09:00Z</dcterms:modified>
</cp:coreProperties>
</file>