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C1C17">
      <w:pPr>
        <w:pStyle w:val="2"/>
      </w:pPr>
      <w:r>
        <w:t xml:space="preserve">南开大学 </w:t>
      </w:r>
      <w:r>
        <w:rPr>
          <w:rFonts w:hint="eastAsia"/>
          <w:lang w:val="en-US" w:eastAsia="zh-CN"/>
        </w:rPr>
        <w:t>工科</w:t>
      </w:r>
      <w:r>
        <w:t>大类</w:t>
      </w:r>
    </w:p>
    <w:p w14:paraId="335FB41D">
      <w:pPr>
        <w:pStyle w:val="16"/>
      </w:pPr>
      <w:r>
        <w:t>姓名：陈柯睿</w:t>
      </w:r>
    </w:p>
    <w:p w14:paraId="11647756">
      <w:pPr>
        <w:pStyle w:val="16"/>
      </w:pPr>
      <w:r>
        <w:t>学号：2510975</w:t>
      </w:r>
    </w:p>
    <w:p w14:paraId="52CE5D0E">
      <w:pPr>
        <w:pStyle w:val="16"/>
        <w:rPr>
          <w:rFonts w:hint="default" w:eastAsia="等线"/>
          <w:lang w:val="en-US" w:eastAsia="zh-CN"/>
        </w:rPr>
      </w:pPr>
      <w:r>
        <w:t>班级：</w:t>
      </w:r>
      <w:r>
        <w:rPr>
          <w:rFonts w:hint="eastAsia"/>
          <w:lang w:val="en-US" w:eastAsia="zh-CN"/>
        </w:rPr>
        <w:t>高级语言程序设计2-2（1009）/计算机学院代管模拟1-1</w:t>
      </w:r>
    </w:p>
    <w:p w14:paraId="45B50BF1">
      <w:pPr>
        <w:pStyle w:val="16"/>
      </w:pPr>
      <w:r>
        <w:t>日期：2026 年 5 月 13日</w:t>
      </w:r>
    </w:p>
    <w:p w14:paraId="0416424C">
      <w:pPr>
        <w:pStyle w:val="16"/>
      </w:pPr>
      <w:r>
        <w:t>实验名称：VisualStatistics：概率分布可视化应用</w:t>
      </w:r>
    </w:p>
    <w:p w14:paraId="4556E88F">
      <w:pPr>
        <w:pStyle w:val="2"/>
      </w:pPr>
      <w:r>
        <w:t>目录</w:t>
      </w:r>
    </w:p>
    <w:p w14:paraId="5D9587DE">
      <w:pPr>
        <w:pStyle w:val="16"/>
        <w:numPr>
          <w:ilvl w:val="0"/>
          <w:numId w:val="1"/>
        </w:numPr>
      </w:pPr>
      <w:r>
        <w:t>作业题目 1</w:t>
      </w:r>
    </w:p>
    <w:p w14:paraId="20041EA4">
      <w:pPr>
        <w:pStyle w:val="16"/>
        <w:numPr>
          <w:ilvl w:val="0"/>
          <w:numId w:val="1"/>
        </w:numPr>
      </w:pPr>
      <w:r>
        <w:t>开发软件 1</w:t>
      </w:r>
    </w:p>
    <w:p w14:paraId="53A71099">
      <w:pPr>
        <w:pStyle w:val="16"/>
        <w:numPr>
          <w:ilvl w:val="0"/>
          <w:numId w:val="1"/>
        </w:numPr>
      </w:pPr>
      <w:r>
        <w:t xml:space="preserve">课题要求 </w:t>
      </w:r>
      <w:r>
        <w:rPr>
          <w:rFonts w:hint="eastAsia"/>
          <w:lang w:val="en-US" w:eastAsia="zh-CN"/>
        </w:rPr>
        <w:t>2</w:t>
      </w:r>
    </w:p>
    <w:p w14:paraId="48611513">
      <w:pPr>
        <w:pStyle w:val="16"/>
        <w:numPr>
          <w:ilvl w:val="0"/>
          <w:numId w:val="1"/>
        </w:numPr>
      </w:pPr>
      <w:r>
        <w:t>主要流程 2</w:t>
      </w:r>
    </w:p>
    <w:p w14:paraId="5BBA89EC">
      <w:pPr>
        <w:pStyle w:val="16"/>
        <w:numPr>
          <w:ilvl w:val="1"/>
          <w:numId w:val="2"/>
        </w:numPr>
      </w:pPr>
      <w:r>
        <w:t>4.1 整体流程 2</w:t>
      </w:r>
    </w:p>
    <w:p w14:paraId="36C70701">
      <w:pPr>
        <w:pStyle w:val="16"/>
        <w:numPr>
          <w:ilvl w:val="1"/>
          <w:numId w:val="2"/>
        </w:numPr>
      </w:pPr>
      <w:r>
        <w:t xml:space="preserve">4.2 架构设计 </w:t>
      </w:r>
      <w:r>
        <w:rPr>
          <w:rFonts w:hint="eastAsia"/>
          <w:lang w:val="en-US" w:eastAsia="zh-CN"/>
        </w:rPr>
        <w:t>3</w:t>
      </w:r>
      <w:sdt>
        <w:sdtPr>
          <w:rPr>
            <w:rFonts w:ascii="DejaVu Math TeX Gyre" w:hAnsi="DejaVu Math TeX Gyre" w:eastAsia="等线" w:cs="Arial"/>
            <w:sz w:val="22"/>
            <w:szCs w:val="22"/>
            <w:lang w:val="en-US" w:eastAsia="zh-CN"/>
          </w:rPr>
          <w:id w:val="80354273"/>
          <w:placeholder>
            <w:docPart w:val="DefaultPlaceholder_2098659788"/>
          </w:placeholder>
          <w:temporary/>
          <w:showingPlcHdr/>
          <w:equation/>
        </w:sdtPr>
        <w:sdtEndPr>
          <w:rPr>
            <w:rFonts w:ascii="DejaVu Math TeX Gyre" w:hAnsi="DejaVu Math TeX Gyre" w:eastAsia="等线" w:cs="Arial"/>
            <w:sz w:val="22"/>
            <w:szCs w:val="22"/>
            <w:lang w:val="en-US" w:eastAsia="zh-CN"/>
          </w:rPr>
        </w:sdtEndPr>
        <w:sdtContent>
          <m:oMath>
            <m:r>
              <m:rPr>
                <m:sty m:val="p"/>
              </m:rPr>
              <w:rPr>
                <w:rFonts w:ascii="DejaVu Math TeX Gyre" w:hAnsi="DejaVu Math TeX Gyre"/>
                <w:color w:val="808080"/>
              </w:rPr>
              <m:t>在此处键入公式。</m:t>
            </m:r>
          </m:oMath>
        </w:sdtContent>
      </w:sdt>
    </w:p>
    <w:p w14:paraId="73CEBEB1">
      <w:pPr>
        <w:pStyle w:val="16"/>
        <w:numPr>
          <w:ilvl w:val="1"/>
          <w:numId w:val="2"/>
        </w:numPr>
      </w:pPr>
      <w:r>
        <w:t>4.3 核心设计模式 3</w:t>
      </w:r>
    </w:p>
    <w:p w14:paraId="6E1E2B53">
      <w:pPr>
        <w:pStyle w:val="16"/>
        <w:numPr>
          <w:ilvl w:val="1"/>
          <w:numId w:val="2"/>
        </w:numPr>
      </w:pPr>
      <w:r>
        <w:t>4.4 算法与公式实现 4</w:t>
      </w:r>
    </w:p>
    <w:p w14:paraId="386A33D2">
      <w:pPr>
        <w:pStyle w:val="16"/>
        <w:numPr>
          <w:ilvl w:val="0"/>
          <w:numId w:val="3"/>
        </w:numPr>
      </w:pPr>
      <w:r>
        <w:t>单元测试 6</w:t>
      </w:r>
    </w:p>
    <w:p w14:paraId="346BC40E">
      <w:pPr>
        <w:pStyle w:val="16"/>
        <w:numPr>
          <w:ilvl w:val="0"/>
          <w:numId w:val="3"/>
        </w:numPr>
      </w:pPr>
      <w:r>
        <w:t>AI 工具使用说明 8</w:t>
      </w:r>
    </w:p>
    <w:p w14:paraId="4E1EAB3B">
      <w:pPr>
        <w:pStyle w:val="16"/>
        <w:numPr>
          <w:ilvl w:val="0"/>
          <w:numId w:val="3"/>
        </w:numPr>
      </w:pPr>
      <w:r>
        <w:t>开发收获 9</w:t>
      </w:r>
    </w:p>
    <w:p w14:paraId="05A3AEFA">
      <w:pPr>
        <w:pStyle w:val="16"/>
      </w:pPr>
    </w:p>
    <w:p w14:paraId="23627FB4">
      <w:pPr>
        <w:pBdr>
          <w:bottom w:val="single" w:color="auto" w:sz="6" w:space="1"/>
        </w:pBdr>
      </w:pPr>
    </w:p>
    <w:p w14:paraId="490755C0">
      <w:pPr>
        <w:pStyle w:val="2"/>
      </w:pPr>
      <w:r>
        <w:t>一、作业题目</w:t>
      </w:r>
    </w:p>
    <w:p w14:paraId="019C85F9">
      <w:pPr>
        <w:pStyle w:val="16"/>
      </w:pPr>
      <w:r>
        <w:t>VisualStatistics：概率分布可视化应用 —— 基于 Qt 的交互式统计学概念可视化工具，通过粒子动画、关系网络图和参数可调界面，实现 12 种常见概率分布的直观展示与探索。</w:t>
      </w:r>
    </w:p>
    <w:p w14:paraId="5E15DF9F">
      <w:pPr>
        <w:pStyle w:val="2"/>
      </w:pPr>
      <w:r>
        <w:t>二、开发软件</w:t>
      </w:r>
    </w:p>
    <w:p w14:paraId="3A6E4A30">
      <w:pPr>
        <w:pStyle w:val="16"/>
        <w:numPr>
          <w:ilvl w:val="0"/>
          <w:numId w:val="4"/>
        </w:numPr>
      </w:pPr>
      <w:r>
        <w:t>开发环境：Qt 5.15.2</w:t>
      </w:r>
    </w:p>
    <w:p w14:paraId="79839C03">
      <w:pPr>
        <w:pStyle w:val="16"/>
        <w:numPr>
          <w:ilvl w:val="0"/>
          <w:numId w:val="4"/>
        </w:numPr>
      </w:pPr>
      <w:r>
        <w:t>编程语言：C++17</w:t>
      </w:r>
    </w:p>
    <w:p w14:paraId="22B38AE4">
      <w:pPr>
        <w:pStyle w:val="16"/>
        <w:numPr>
          <w:ilvl w:val="0"/>
          <w:numId w:val="4"/>
        </w:numPr>
      </w:pPr>
      <w:r>
        <w:t>核心依赖库：</w:t>
      </w:r>
    </w:p>
    <w:p w14:paraId="3B36047C">
      <w:pPr>
        <w:pStyle w:val="16"/>
        <w:numPr>
          <w:ilvl w:val="1"/>
          <w:numId w:val="2"/>
        </w:numPr>
      </w:pPr>
      <w:r>
        <w:t>QCustomPlot：图表绘制与曲线实时渲染</w:t>
      </w:r>
    </w:p>
    <w:p w14:paraId="1DFB61FB">
      <w:pPr>
        <w:pStyle w:val="16"/>
        <w:numPr>
          <w:ilvl w:val="1"/>
          <w:numId w:val="2"/>
        </w:numPr>
      </w:pPr>
      <w:r>
        <w:t>Qt WebEngine：LaTeX 数学公式渲染</w:t>
      </w:r>
    </w:p>
    <w:p w14:paraId="52783861">
      <w:pPr>
        <w:pStyle w:val="16"/>
        <w:numPr>
          <w:ilvl w:val="1"/>
          <w:numId w:val="2"/>
        </w:numPr>
      </w:pPr>
      <w:r>
        <w:t>C++ Standard Library：数值计算与数据结构</w:t>
      </w:r>
    </w:p>
    <w:p w14:paraId="1D2FB0ED">
      <w:pPr>
        <w:pStyle w:val="16"/>
        <w:numPr>
          <w:ilvl w:val="0"/>
          <w:numId w:val="5"/>
        </w:numPr>
      </w:pPr>
      <w:r>
        <w:t>开发工具： Qt Creator</w:t>
      </w:r>
    </w:p>
    <w:p w14:paraId="27218DA8">
      <w:pPr>
        <w:pStyle w:val="2"/>
      </w:pPr>
      <w:r>
        <w:t>三、课题要求</w:t>
      </w:r>
    </w:p>
    <w:p w14:paraId="56FA041C">
      <w:pPr>
        <w:pStyle w:val="16"/>
        <w:numPr>
          <w:ilvl w:val="0"/>
          <w:numId w:val="6"/>
        </w:numPr>
      </w:pPr>
      <w:r>
        <w:t>功能要求：</w:t>
      </w:r>
    </w:p>
    <w:p w14:paraId="47FF540C">
      <w:pPr>
        <w:pStyle w:val="16"/>
        <w:numPr>
          <w:ilvl w:val="1"/>
          <w:numId w:val="2"/>
        </w:numPr>
      </w:pPr>
      <w:r>
        <w:t>图形化界面：基于 Qt 实现多页面交互式应用，包含欢迎页、关系网页面、详情页</w:t>
      </w:r>
    </w:p>
    <w:p w14:paraId="1ED0DE9C">
      <w:pPr>
        <w:pStyle w:val="16"/>
        <w:numPr>
          <w:ilvl w:val="1"/>
          <w:numId w:val="2"/>
        </w:numPr>
      </w:pPr>
      <w:r>
        <w:t>核心功能：支持 12 种概率分布（8 种连续型 + 4 种离散型）的 PDF/CDF 计算与可视化</w:t>
      </w:r>
    </w:p>
    <w:p w14:paraId="093B5285">
      <w:pPr>
        <w:pStyle w:val="16"/>
        <w:numPr>
          <w:ilvl w:val="1"/>
          <w:numId w:val="2"/>
        </w:numPr>
      </w:pPr>
      <w:r>
        <w:t>交互特性：参数可调滑块、实时曲线更新、节点跳转、粒子动画演示</w:t>
      </w:r>
    </w:p>
    <w:p w14:paraId="37830B87">
      <w:pPr>
        <w:pStyle w:val="16"/>
        <w:numPr>
          <w:ilvl w:val="1"/>
          <w:numId w:val="2"/>
        </w:numPr>
      </w:pPr>
      <w:r>
        <w:t>可视化要求：3B1B 风格深色主题，青色高亮，粒子堆积动画，分布关系网络图</w:t>
      </w:r>
    </w:p>
    <w:p w14:paraId="131B7DCF">
      <w:pPr>
        <w:pStyle w:val="16"/>
        <w:numPr>
          <w:ilvl w:val="0"/>
          <w:numId w:val="7"/>
        </w:numPr>
      </w:pPr>
      <w:r>
        <w:t>技术要求：</w:t>
      </w:r>
    </w:p>
    <w:p w14:paraId="411E4907">
      <w:pPr>
        <w:pStyle w:val="16"/>
        <w:numPr>
          <w:ilvl w:val="1"/>
          <w:numId w:val="2"/>
        </w:numPr>
      </w:pPr>
      <w:r>
        <w:t>面向对象设计：采用抽象基类 + 子类实现的架构</w:t>
      </w:r>
    </w:p>
    <w:p w14:paraId="5E415CE8">
      <w:pPr>
        <w:pStyle w:val="16"/>
        <w:numPr>
          <w:ilvl w:val="1"/>
          <w:numId w:val="2"/>
        </w:numPr>
      </w:pPr>
      <w:r>
        <w:t>设计模式应用：整合策略模式、工厂模式、观察者模式</w:t>
      </w:r>
    </w:p>
    <w:p w14:paraId="32538F28">
      <w:pPr>
        <w:pStyle w:val="16"/>
        <w:numPr>
          <w:ilvl w:val="1"/>
          <w:numId w:val="2"/>
        </w:numPr>
      </w:pPr>
      <w:r>
        <w:t>数值计算精度：解决组合数溢出、CDF 积分收敛等问题</w:t>
      </w:r>
    </w:p>
    <w:p w14:paraId="3822193E">
      <w:pPr>
        <w:pStyle w:val="16"/>
        <w:numPr>
          <w:ilvl w:val="1"/>
          <w:numId w:val="2"/>
        </w:numPr>
      </w:pPr>
      <w:r>
        <w:t>跨页面通信：通过 Qt 信号槽机制实现页面数据同步</w:t>
      </w:r>
    </w:p>
    <w:p w14:paraId="19C531A8">
      <w:pPr>
        <w:pStyle w:val="2"/>
      </w:pPr>
      <w:r>
        <w:t>四、主要流程</w:t>
      </w:r>
    </w:p>
    <w:p w14:paraId="28E5FCAA">
      <w:pPr>
        <w:pStyle w:val="3"/>
      </w:pPr>
      <w:r>
        <w:t>4.1 整体流程</w:t>
      </w:r>
    </w:p>
    <w:p w14:paraId="704592C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60470" cy="5978525"/>
            <wp:effectExtent l="0" t="0" r="24130" b="15875"/>
            <wp:docPr id="1" name="图片 1" descr="exported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xported_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0470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F8822C">
      <w:pPr>
        <w:pStyle w:val="16"/>
      </w:pPr>
    </w:p>
    <w:p w14:paraId="4D74469D">
      <w:pPr>
        <w:pStyle w:val="16"/>
      </w:pPr>
      <w:r>
        <w:t>核心逻辑：通过页面管理器（MainWindow）统一调度，各页面通过信号槽传递数据，分布计算逻辑与 UI 渲染分离，确保模块化设计。</w:t>
      </w:r>
    </w:p>
    <w:p w14:paraId="3B970845">
      <w:pPr>
        <w:pStyle w:val="3"/>
      </w:pPr>
      <w:r>
        <w:t>4.2 架构设计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28"/>
      </w:tblGrid>
      <w:tr w14:paraId="797E7C3C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97AC0">
            <w:pPr>
              <w:pStyle w:val="16"/>
            </w:pPr>
            <w:r>
              <w:t>VisualStatistics/</w:t>
            </w:r>
          </w:p>
          <w:p w14:paraId="19DD8F8A">
            <w:pPr>
              <w:pStyle w:val="16"/>
            </w:pPr>
            <w:r>
              <w:t>├── main.cpp              # 应用入口，初始化主窗口</w:t>
            </w:r>
          </w:p>
          <w:p w14:paraId="2DC65E4F">
            <w:pPr>
              <w:pStyle w:val="16"/>
            </w:pPr>
            <w:r>
              <w:t>├── mainwindow.cpp        # 页面管理器，信号槽转发中心</w:t>
            </w:r>
          </w:p>
          <w:p w14:paraId="3FE6AED7">
            <w:pPr>
              <w:pStyle w:val="16"/>
            </w:pPr>
            <w:r>
              <w:t>├── qcustomplot.cpp       # 第三方图表库，曲线绘制</w:t>
            </w:r>
          </w:p>
          <w:p w14:paraId="4065A42B">
            <w:pPr>
              <w:pStyle w:val="16"/>
            </w:pPr>
            <w:r>
              <w:t>├── math/</w:t>
            </w:r>
          </w:p>
          <w:p w14:paraId="5761840E">
            <w:pPr>
              <w:pStyle w:val="16"/>
            </w:pPr>
            <w:r>
              <w:t>│   ├── distributionmodel.h   # 抽象基类+工厂类声明</w:t>
            </w:r>
          </w:p>
          <w:p w14:paraId="7564E187">
            <w:pPr>
              <w:pStyle w:val="16"/>
            </w:pPr>
            <w:r>
              <w:t>│   └── distributionmodel.cpp # 12种分布具体实现</w:t>
            </w:r>
          </w:p>
          <w:p w14:paraId="36EB1150">
            <w:pPr>
              <w:pStyle w:val="16"/>
            </w:pPr>
            <w:r>
              <w:t>└── pages/</w:t>
            </w:r>
          </w:p>
          <w:p w14:paraId="2D1E08D2">
            <w:pPr>
              <w:pStyle w:val="16"/>
            </w:pPr>
            <w:r>
              <w:t xml:space="preserve">    ├── welcomepage.*     # 欢迎页，粒子动画生成与渲染</w:t>
            </w:r>
          </w:p>
          <w:p w14:paraId="15F0F779">
            <w:pPr>
              <w:pStyle w:val="16"/>
            </w:pPr>
            <w:r>
              <w:t xml:space="preserve">    ├── networkpage.*     # 关系网络图，节点/连线绘制</w:t>
            </w:r>
          </w:p>
          <w:p w14:paraId="4E0E3DA1">
            <w:pPr>
              <w:pStyle w:val="16"/>
            </w:pPr>
            <w:r>
              <w:t xml:space="preserve">    └── detailpage.*      # 详情页，参数调节+曲线更新</w:t>
            </w:r>
          </w:p>
        </w:tc>
      </w:tr>
    </w:tbl>
    <w:p w14:paraId="341B0F8C">
      <w:pPr>
        <w:pStyle w:val="3"/>
      </w:pPr>
      <w:r>
        <w:t>4.3 核心设计模式</w:t>
      </w:r>
    </w:p>
    <w:p w14:paraId="23CE0667">
      <w:pPr>
        <w:pStyle w:val="4"/>
      </w:pPr>
      <w:r>
        <w:t>（1）策略模式</w:t>
      </w:r>
    </w:p>
    <w:p w14:paraId="2B35B2B3">
      <w:pPr>
        <w:pStyle w:val="16"/>
        <w:numPr>
          <w:ilvl w:val="0"/>
          <w:numId w:val="2"/>
        </w:numPr>
      </w:pPr>
      <w:r>
        <w:t>抽象策略：</w:t>
      </w:r>
      <w:r>
        <w:rPr>
          <w:highlight w:val="cyan"/>
          <w:bdr w:val="single" w:color="DEE0E3" w:sz="4" w:space="0"/>
        </w:rPr>
        <w:t>BaseDistribution</w:t>
      </w:r>
      <w:r>
        <w:t xml:space="preserve"> 类，定义统一接口</w:t>
      </w:r>
    </w:p>
    <w:p w14:paraId="26C3990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29"/>
      </w:tblGrid>
      <w:tr w14:paraId="0F369104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1BC52">
            <w:pPr>
              <w:pStyle w:val="16"/>
            </w:pPr>
            <w:r>
              <w:t>class BaseDistribution {</w:t>
            </w:r>
          </w:p>
          <w:p w14:paraId="57773AC7">
            <w:pPr>
              <w:pStyle w:val="16"/>
            </w:pPr>
            <w:r>
              <w:t>public:</w:t>
            </w:r>
          </w:p>
          <w:p w14:paraId="1CB28369">
            <w:pPr>
              <w:pStyle w:val="16"/>
            </w:pPr>
            <w:r>
              <w:t xml:space="preserve">    virtual double calculate(double x) const = 0;       // PDF计算</w:t>
            </w:r>
          </w:p>
          <w:p w14:paraId="6DB131FB">
            <w:pPr>
              <w:pStyle w:val="16"/>
            </w:pPr>
            <w:r>
              <w:t xml:space="preserve">    virtual double calculateCDF(double x) const = 0;    // CDF计算</w:t>
            </w:r>
          </w:p>
          <w:p w14:paraId="43F04206">
            <w:pPr>
              <w:pStyle w:val="16"/>
            </w:pPr>
            <w:r>
              <w:t xml:space="preserve">    virtual QPairSuggestedRange() const = 0; // 建议坐标范围</w:t>
            </w:r>
          </w:p>
          <w:p w14:paraId="09DCCFCF">
            <w:pPr>
              <w:pStyle w:val="16"/>
            </w:pPr>
            <w:r>
              <w:t xml:space="preserve">    virtual void setParameters(double p1, double p2) = 0; // 设置分布参数</w:t>
            </w:r>
          </w:p>
          <w:p w14:paraId="24BB0B68">
            <w:pPr>
              <w:pStyle w:val="16"/>
            </w:pPr>
            <w:r>
              <w:t>};</w:t>
            </w:r>
          </w:p>
        </w:tc>
      </w:tr>
    </w:tbl>
    <w:p w14:paraId="33DE6CE9">
      <w:pPr>
        <w:pStyle w:val="16"/>
        <w:numPr>
          <w:ilvl w:val="0"/>
          <w:numId w:val="2"/>
        </w:numPr>
      </w:pPr>
      <w:r>
        <w:t xml:space="preserve">具体策略：12 种分布子类（如 </w:t>
      </w:r>
      <w:r>
        <w:rPr>
          <w:highlight w:val="cyan"/>
          <w:bdr w:val="single" w:color="DEE0E3" w:sz="4" w:space="0"/>
        </w:rPr>
        <w:t>NormalDistribution</w:t>
      </w:r>
      <w:r>
        <w:t>、</w:t>
      </w:r>
      <w:r>
        <w:rPr>
          <w:highlight w:val="cyan"/>
          <w:bdr w:val="single" w:color="DEE0E3" w:sz="4" w:space="0"/>
        </w:rPr>
        <w:t>BinomialDistribution</w:t>
      </w:r>
      <w:r>
        <w:t>），实现各自的 PDF/CDF 算法</w:t>
      </w:r>
    </w:p>
    <w:p w14:paraId="4C776A29">
      <w:pPr>
        <w:pStyle w:val="16"/>
        <w:numPr>
          <w:ilvl w:val="0"/>
          <w:numId w:val="2"/>
        </w:numPr>
      </w:pPr>
      <w:r>
        <w:t>环境类：</w:t>
      </w:r>
      <w:r>
        <w:rPr>
          <w:highlight w:val="cyan"/>
          <w:bdr w:val="single" w:color="DEE0E3" w:sz="4" w:space="0"/>
        </w:rPr>
        <w:t>DetailPage</w:t>
      </w:r>
      <w:r>
        <w:t>，通过基类指针调用具体分布的计算方法，实现动态切换分布类型</w:t>
      </w:r>
    </w:p>
    <w:p w14:paraId="4A5B37FB">
      <w:pPr>
        <w:pStyle w:val="4"/>
      </w:pPr>
      <w:r>
        <w:t>（2）工厂模式</w:t>
      </w:r>
    </w:p>
    <w:p w14:paraId="7B700FA1">
      <w:pPr>
        <w:pStyle w:val="16"/>
        <w:numPr>
          <w:ilvl w:val="0"/>
          <w:numId w:val="2"/>
        </w:numPr>
      </w:pPr>
      <w:r>
        <w:t>工厂类：</w:t>
      </w:r>
      <w:r>
        <w:rPr>
          <w:highlight w:val="cyan"/>
          <w:bdr w:val="single" w:color="DEE0E3" w:sz="4" w:space="0"/>
        </w:rPr>
        <w:t>DistFactory</w:t>
      </w:r>
      <w:r>
        <w:t>，提供静态创建方法</w:t>
      </w:r>
    </w:p>
    <w:p w14:paraId="0799B39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26"/>
      </w:tblGrid>
      <w:tr w14:paraId="461773DC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8F8CF">
            <w:pPr>
              <w:pStyle w:val="16"/>
            </w:pPr>
            <w:r>
              <w:rPr>
                <w:rFonts w:hint="eastAsia"/>
                <w:lang w:val="en-US" w:eastAsia="zh-CN"/>
              </w:rPr>
              <w:t>struct</w:t>
            </w:r>
            <w:r>
              <w:t xml:space="preserve"> DistFactory {</w:t>
            </w:r>
          </w:p>
          <w:p w14:paraId="18B0F17D">
            <w:pPr>
              <w:pStyle w:val="16"/>
            </w:pPr>
            <w:r>
              <w:t>public:</w:t>
            </w:r>
          </w:p>
          <w:p w14:paraId="5DCCAD63">
            <w:pPr>
              <w:pStyle w:val="16"/>
            </w:pPr>
            <w:r>
              <w:t xml:space="preserve">    static BaseDistribution* create(</w:t>
            </w:r>
            <w:r>
              <w:rPr>
                <w:rFonts w:hint="eastAsia"/>
                <w:lang w:val="en-US" w:eastAsia="zh-CN"/>
              </w:rPr>
              <w:t>DistT</w:t>
            </w:r>
            <w:r>
              <w:t>ype</w:t>
            </w:r>
            <w:r>
              <w:rPr>
                <w:rFonts w:hint="eastAsia"/>
                <w:lang w:val="en-US" w:eastAsia="zh-CN"/>
              </w:rPr>
              <w:t xml:space="preserve"> type</w:t>
            </w:r>
            <w:r>
              <w:t>) {</w:t>
            </w:r>
          </w:p>
          <w:p w14:paraId="352C09ED">
            <w:pPr>
              <w:pStyle w:val="16"/>
            </w:pPr>
            <w:r>
              <w:t xml:space="preserve">        switch(type) {</w:t>
            </w:r>
          </w:p>
          <w:p w14:paraId="0505F367">
            <w:pPr>
              <w:pStyle w:val="16"/>
            </w:pPr>
            <w:r>
              <w:t xml:space="preserve">            case NORMAL: return new NormalDistribution();</w:t>
            </w:r>
          </w:p>
          <w:p w14:paraId="6B2A962C">
            <w:pPr>
              <w:pStyle w:val="16"/>
            </w:pPr>
            <w:r>
              <w:t xml:space="preserve">            case BINOMIAL: return new BinomialDistribution();</w:t>
            </w:r>
          </w:p>
          <w:p w14:paraId="0C991273">
            <w:pPr>
              <w:pStyle w:val="16"/>
            </w:pPr>
            <w:r>
              <w:t xml:space="preserve">            // 其他分布创建逻辑</w:t>
            </w:r>
          </w:p>
          <w:p w14:paraId="47630869">
            <w:pPr>
              <w:pStyle w:val="16"/>
            </w:pPr>
            <w:r>
              <w:t xml:space="preserve">            default: return nullptr;</w:t>
            </w:r>
          </w:p>
          <w:p w14:paraId="5D4E3418">
            <w:pPr>
              <w:pStyle w:val="16"/>
            </w:pPr>
            <w:r>
              <w:t xml:space="preserve">        }</w:t>
            </w:r>
          </w:p>
          <w:p w14:paraId="5A18423E">
            <w:pPr>
              <w:pStyle w:val="16"/>
            </w:pPr>
            <w:r>
              <w:t xml:space="preserve">    }</w:t>
            </w:r>
          </w:p>
          <w:p w14:paraId="79C0CFD5">
            <w:pPr>
              <w:pStyle w:val="16"/>
            </w:pPr>
            <w:r>
              <w:t>};</w:t>
            </w:r>
          </w:p>
        </w:tc>
      </w:tr>
    </w:tbl>
    <w:p w14:paraId="42FD2A89">
      <w:pPr>
        <w:pStyle w:val="16"/>
        <w:numPr>
          <w:ilvl w:val="0"/>
          <w:numId w:val="2"/>
        </w:numPr>
      </w:pPr>
      <w:r>
        <w:t>作用：解耦分布实例创建与使用，便于扩展新分布类型</w:t>
      </w:r>
    </w:p>
    <w:p w14:paraId="64103FA2">
      <w:pPr>
        <w:pStyle w:val="4"/>
      </w:pPr>
      <w:r>
        <w:t>（3）观察者模式</w:t>
      </w:r>
    </w:p>
    <w:p w14:paraId="6713D251">
      <w:pPr>
        <w:pStyle w:val="16"/>
        <w:numPr>
          <w:ilvl w:val="0"/>
          <w:numId w:val="2"/>
        </w:numPr>
      </w:pPr>
      <w:r>
        <w:t>被观察者：参数滑块（</w:t>
      </w:r>
      <w:r>
        <w:rPr>
          <w:highlight w:val="cyan"/>
          <w:bdr w:val="single" w:color="DEE0E3" w:sz="4" w:space="0"/>
        </w:rPr>
        <w:t>QSlider</w:t>
      </w:r>
      <w:r>
        <w:t>）、分布类型下拉框</w:t>
      </w:r>
    </w:p>
    <w:p w14:paraId="19993EB0">
      <w:pPr>
        <w:pStyle w:val="16"/>
        <w:numPr>
          <w:ilvl w:val="0"/>
          <w:numId w:val="2"/>
        </w:numPr>
      </w:pPr>
      <w:r>
        <w:t>观察者：图表控件（</w:t>
      </w:r>
      <w:r>
        <w:rPr>
          <w:highlight w:val="cyan"/>
          <w:bdr w:val="single" w:color="DEE0E3" w:sz="4" w:space="0"/>
        </w:rPr>
        <w:t>QCustomPlot</w:t>
      </w:r>
      <w:r>
        <w:t>）、数学公式标签（</w:t>
      </w:r>
      <w:r>
        <w:rPr>
          <w:highlight w:val="cyan"/>
          <w:bdr w:val="single" w:color="DEE0E3" w:sz="4" w:space="0"/>
        </w:rPr>
        <w:t>QWebEngineView</w:t>
      </w:r>
      <w:r>
        <w:t>）</w:t>
      </w:r>
    </w:p>
    <w:p w14:paraId="59650E35">
      <w:pPr>
        <w:pStyle w:val="16"/>
        <w:numPr>
          <w:ilvl w:val="0"/>
          <w:numId w:val="2"/>
        </w:numPr>
      </w:pPr>
      <w:r>
        <w:t>实现：通过 Qt 信号槽机制，当参数或分布类型变化时，自动触发图表和公式的更新</w:t>
      </w:r>
    </w:p>
    <w:p w14:paraId="47F25347">
      <w:pPr>
        <w:pStyle w:val="3"/>
      </w:pPr>
      <w:r>
        <w:t>4.4 算法与公式实现</w:t>
      </w:r>
    </w:p>
    <w:p w14:paraId="2CC940E4">
      <w:pPr>
        <w:pStyle w:val="4"/>
      </w:pPr>
      <w:r>
        <w:t>（1）连续型分布核心算法</w:t>
      </w:r>
    </w:p>
    <w:p w14:paraId="54AED9F0">
      <w:pPr>
        <w:pStyle w:val="16"/>
      </w:pPr>
    </w:p>
    <w:tbl>
      <w:tblPr>
        <w:tblStyle w:val="10"/>
        <w:tblW w:w="95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4308"/>
        <w:gridCol w:w="2517"/>
      </w:tblGrid>
      <w:tr w14:paraId="451FC30E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C0190">
            <w:pPr>
              <w:pStyle w:val="16"/>
            </w:pPr>
            <w:r>
              <w:t>分布类型</w:t>
            </w:r>
          </w:p>
        </w:tc>
        <w:tc>
          <w:tcPr>
            <w:tcW w:w="43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409D2">
            <w:pPr>
              <w:pStyle w:val="16"/>
            </w:pPr>
            <w:r>
              <w:t>PDF 公式</w:t>
            </w:r>
          </w:p>
        </w:tc>
        <w:tc>
          <w:tcPr>
            <w:tcW w:w="251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23070">
            <w:pPr>
              <w:pStyle w:val="16"/>
            </w:pPr>
            <w:r>
              <w:t>实现要点</w:t>
            </w:r>
          </w:p>
        </w:tc>
      </w:tr>
      <w:tr w14:paraId="31EDDE32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2EDC5">
            <w:pPr>
              <w:pStyle w:val="16"/>
            </w:pPr>
            <w:r>
              <w:t>正态分布</w:t>
            </w:r>
          </w:p>
        </w:tc>
        <w:tc>
          <w:tcPr>
            <w:tcW w:w="43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33123">
            <w:pPr>
              <w:pStyle w:val="16"/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2"/>
                  </w:rPr>
                  <m:t>f(x)=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2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σ</m:t>
                    </m:r>
                    <m:rad>
                      <m:radPr>
                        <m:deg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2"/>
                          </w:rPr>
                        </m:ctrlPr>
                      </m:radPr>
                      <m:deg>
                        <m:ctrlPr>
                          <w:rPr>
                            <w:rFonts w:ascii="DejaVu Math TeX Gyre" w:hAnsi="DejaVu Math TeX Gyre"/>
                            <w:sz w:val="22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2"/>
                          </w:rPr>
                          <m:t>2π</m:t>
                        </m:r>
                        <m:ctrlPr>
                          <w:rPr>
                            <w:rFonts w:ascii="DejaVu Math TeX Gyre" w:hAnsi="DejaVu Math TeX Gyre"/>
                            <w:sz w:val="22"/>
                          </w:rPr>
                        </m:ctrlPr>
                      </m:e>
                    </m:rad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e</m:t>
                    </m: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2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/>
                            <w:sz w:val="22"/>
                          </w:rPr>
                          <m:t>(x−μ</m:t>
                        </m:r>
                        <m:sSup>
                          <m:sSupPr>
                            <m:ctrlPr>
                              <w:rPr>
                                <w:rFonts w:hint="default" w:ascii="DejaVu Math TeX Gyre" w:hAnsi="DejaVu Math TeX Gyre"/>
                                <w:sz w:val="22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2"/>
                              </w:rPr>
                              <m:t>)</m:t>
                            </m:r>
                            <m:ctrlPr>
                              <w:rPr>
                                <w:rFonts w:ascii="DejaVu Math TeX Gyre" w:hAnsi="DejaVu Math TeX Gyre"/>
                                <w:sz w:val="22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2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2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DejaVu Math TeX Gyre" w:hAnsi="DejaVu Math TeX Gyre"/>
                            <w:sz w:val="22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/>
                            <w:sz w:val="22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hint="default" w:ascii="DejaVu Math TeX Gyre" w:hAnsi="DejaVu Math TeX Gyre"/>
                                <w:sz w:val="22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2"/>
                              </w:rPr>
                              <m:t>σ</m:t>
                            </m:r>
                            <m:ctrlPr>
                              <w:rPr>
                                <w:rFonts w:ascii="DejaVu Math TeX Gyre" w:hAnsi="DejaVu Math TeX Gyre"/>
                                <w:sz w:val="22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2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2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DejaVu Math TeX Gyre" w:hAnsi="DejaVu Math TeX Gyre"/>
                            <w:sz w:val="22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sup>
                </m:sSup>
              </m:oMath>
            </m:oMathPara>
          </w:p>
        </w:tc>
        <w:tc>
          <w:tcPr>
            <w:tcW w:w="251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C8AB9">
            <w:pPr>
              <w:pStyle w:val="16"/>
            </w:pPr>
            <w:r>
              <w:t xml:space="preserve">使用 </w:t>
            </w:r>
            <w:r>
              <w:rPr>
                <w:highlight w:val="cyan"/>
                <w:bdr w:val="single" w:color="DEE0E3" w:sz="4" w:space="0"/>
              </w:rPr>
              <w:t>std::exp</w:t>
            </w:r>
            <w:r>
              <w:t xml:space="preserve"> 计算指数项，避免溢出</w:t>
            </w:r>
          </w:p>
        </w:tc>
      </w:tr>
      <w:tr w14:paraId="207A1BB7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1E99D">
            <w:pPr>
              <w:pStyle w:val="16"/>
            </w:pPr>
            <w:r>
              <w:t>指数分布</w:t>
            </w:r>
          </w:p>
        </w:tc>
        <w:tc>
          <w:tcPr>
            <w:tcW w:w="43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4BB0F">
            <w:pPr>
              <w:pStyle w:val="16"/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2"/>
                  </w:rPr>
                  <m:t>f(x)=λ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e</m:t>
                    </m:r>
                    <m:ctrlPr>
                      <w:rPr>
                        <w:rFonts w:ascii="DejaVu Math TeX Gyre" w:hAnsi="DejaVu Math TeX Gyre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−λx</m:t>
                    </m:r>
                    <m:ctrlPr>
                      <w:rPr>
                        <w:rFonts w:ascii="DejaVu Math TeX Gyre" w:hAnsi="DejaVu Math TeX Gyre"/>
                        <w:sz w:val="22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2"/>
                  </w:rPr>
                  <m:t>（</m:t>
                </m:r>
                <m:r>
                  <m:rPr/>
                  <w:rPr>
                    <w:rFonts w:hint="default" w:ascii="DejaVu Math TeX Gyre" w:hAnsi="DejaVu Math TeX Gyre"/>
                    <w:sz w:val="22"/>
                  </w:rPr>
                  <m:t>x≥0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2"/>
                  </w:rPr>
                  <m:t>）</m:t>
                </m:r>
              </m:oMath>
            </m:oMathPara>
          </w:p>
        </w:tc>
        <w:tc>
          <w:tcPr>
            <w:tcW w:w="251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B13B2">
            <w:pPr>
              <w:pStyle w:val="16"/>
            </w:pPr>
            <w:r>
              <w:t>输入合法性校验，$x 时返回 0</w:t>
            </w:r>
          </w:p>
        </w:tc>
      </w:tr>
      <w:tr w14:paraId="411DE72D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61B02">
            <w:pPr>
              <w:pStyle w:val="16"/>
            </w:pPr>
            <w:r>
              <w:t>卡方分布</w:t>
            </w:r>
          </w:p>
        </w:tc>
        <w:tc>
          <w:tcPr>
            <w:tcW w:w="43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7D954">
            <w:pPr>
              <w:pStyle w:val="16"/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2"/>
                  </w:rPr>
                  <m:t>f(x)=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2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2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2"/>
                          </w:rPr>
                          <m:t>ν/2</m:t>
                        </m:r>
                        <m:ctrlPr>
                          <w:rPr>
                            <w:rFonts w:ascii="DejaVu Math TeX Gyre" w:hAnsi="DejaVu Math TeX Gyre"/>
                            <w:sz w:val="22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2"/>
                      </w:rPr>
                      <m:t>Γ</m:t>
                    </m:r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(ν/2)</m:t>
                    </m:r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(ν/2)−1</m:t>
                    </m:r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e</m:t>
                    </m:r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−x/2</m:t>
                    </m:r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sup>
                </m:sSup>
              </m:oMath>
            </m:oMathPara>
          </w:p>
        </w:tc>
        <w:tc>
          <w:tcPr>
            <w:tcW w:w="251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BAC2E">
            <w:pPr>
              <w:pStyle w:val="16"/>
            </w:pPr>
            <w:r>
              <w:t xml:space="preserve">调用 </w:t>
            </w:r>
            <w:r>
              <w:rPr>
                <w:highlight w:val="cyan"/>
                <w:bdr w:val="single" w:color="DEE0E3" w:sz="4" w:space="0"/>
              </w:rPr>
              <w:t>std::tgamma</w:t>
            </w:r>
            <w:r>
              <w:t xml:space="preserve"> 计算伽马函数</w:t>
            </w:r>
          </w:p>
        </w:tc>
      </w:tr>
      <w:tr w14:paraId="268A20D6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50DB5">
            <w:pPr>
              <w:pStyle w:val="16"/>
            </w:pPr>
            <w:r>
              <w:t>Beta 分布</w:t>
            </w:r>
          </w:p>
        </w:tc>
        <w:tc>
          <w:tcPr>
            <w:tcW w:w="43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062F6">
            <w:pPr>
              <w:pStyle w:val="16"/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2"/>
                  </w:rPr>
                  <m:t>f(x)=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2"/>
                      </w:rPr>
                      <m:t>Γ</m:t>
                    </m:r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(α+β)</m:t>
                    </m:r>
                    <m:ctrlPr>
                      <w:rPr>
                        <w:rFonts w:ascii="DejaVu Math TeX Gyre" w:hAnsi="DejaVu Math TeX Gyre"/>
                        <w:sz w:val="22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2"/>
                      </w:rPr>
                      <m:t>Γ</m:t>
                    </m:r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(α)</m:t>
                    </m:r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2"/>
                      </w:rPr>
                      <m:t>Γ</m:t>
                    </m:r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(β)</m:t>
                    </m:r>
                    <m:ctrlPr>
                      <w:rPr>
                        <w:rFonts w:ascii="DejaVu Math TeX Gyre" w:hAnsi="DejaVu Math TeX Gyre"/>
                        <w:sz w:val="22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α−1</m:t>
                    </m:r>
                    <m:ctrlPr>
                      <w:rPr>
                        <w:rFonts w:ascii="DejaVu Math TeX Gyre" w:hAnsi="DejaVu Math TeX Gyre"/>
                        <w:sz w:val="22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2"/>
                  </w:rPr>
                  <m:t>(1−x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β−1</m:t>
                    </m:r>
                    <m:ctrlPr>
                      <w:rPr>
                        <w:rFonts w:ascii="DejaVu Math TeX Gyre" w:hAnsi="DejaVu Math TeX Gyre"/>
                        <w:sz w:val="22"/>
                      </w:rPr>
                    </m:ctrlPr>
                  </m:sup>
                </m:sSup>
              </m:oMath>
            </m:oMathPara>
          </w:p>
        </w:tc>
        <w:tc>
          <w:tcPr>
            <w:tcW w:w="251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3F4DA">
            <w:pPr>
              <w:pStyle w:val="16"/>
            </w:pPr>
            <w:r>
              <w:t>对数转换计算组合项，防止数值溢出</w:t>
            </w:r>
          </w:p>
        </w:tc>
      </w:tr>
    </w:tbl>
    <w:p w14:paraId="1D1A2AA6">
      <w:pPr>
        <w:pStyle w:val="4"/>
      </w:pPr>
      <w:r>
        <w:t>（2）离散型分布核心算法</w:t>
      </w:r>
    </w:p>
    <w:p w14:paraId="798423DA">
      <w:pPr>
        <w:pStyle w:val="16"/>
      </w:pPr>
    </w:p>
    <w:tbl>
      <w:tblPr>
        <w:tblStyle w:val="10"/>
        <w:tblW w:w="9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3594"/>
        <w:gridCol w:w="3572"/>
      </w:tblGrid>
      <w:tr w14:paraId="193AD2AD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A4BA3">
            <w:pPr>
              <w:pStyle w:val="16"/>
            </w:pPr>
            <w:r>
              <w:t>分布类型</w:t>
            </w:r>
          </w:p>
        </w:tc>
        <w:tc>
          <w:tcPr>
            <w:tcW w:w="35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AE58B">
            <w:pPr>
              <w:pStyle w:val="16"/>
            </w:pPr>
            <w:r>
              <w:t>PMF 公式</w:t>
            </w:r>
          </w:p>
        </w:tc>
        <w:tc>
          <w:tcPr>
            <w:tcW w:w="357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967C4">
            <w:pPr>
              <w:pStyle w:val="16"/>
            </w:pPr>
            <w:r>
              <w:t>实现要点</w:t>
            </w:r>
          </w:p>
        </w:tc>
      </w:tr>
      <w:tr w14:paraId="7147B943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1FB23">
            <w:pPr>
              <w:pStyle w:val="16"/>
            </w:pPr>
            <w:r>
              <w:t>二项分布</w:t>
            </w:r>
          </w:p>
        </w:tc>
        <w:tc>
          <w:tcPr>
            <w:tcW w:w="35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2D9E4">
            <w:pPr>
              <w:pStyle w:val="16"/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2"/>
                  </w:rPr>
                  <m:t>P(X=k)=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2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/>
                            <w:sz w:val="22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2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/>
                            <w:sz w:val="22"/>
                          </w:rPr>
                          <m:t>k</m:t>
                        </m:r>
                        <m:ctrlPr>
                          <w:rPr>
                            <w:rFonts w:ascii="DejaVu Math TeX Gyre" w:hAnsi="DejaVu Math TeX Gyre"/>
                            <w:sz w:val="22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e>
                </m:d>
                <m:sSup>
                  <m:sSupPr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p</m:t>
                    </m: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2"/>
                  </w:rPr>
                  <m:t>(1−p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n−k</m:t>
                    </m: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sup>
                </m:sSup>
              </m:oMath>
            </m:oMathPara>
          </w:p>
        </w:tc>
        <w:tc>
          <w:tcPr>
            <w:tcW w:w="357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ECAF6">
            <w:pPr>
              <w:pStyle w:val="16"/>
            </w:pPr>
            <w:r>
              <w:t xml:space="preserve">对数计算组合数 </w:t>
            </w:r>
            <m:oMath>
              <m:d>
                <m:dPr>
                  <m:ctrlPr>
                    <w:rPr>
                      <w:rFonts w:hint="default" w:ascii="DejaVu Math TeX Gyre" w:hAnsi="DejaVu Math TeX Gyre"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DejaVu Math TeX Gyre" w:hAnsi="DejaVu Math TeX Gyre"/>
                          <w:i/>
                          <w:sz w:val="22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</w:rPr>
                        <m:t>n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den>
                  </m:f>
                  <m:ctrlPr>
                    <w:rPr>
                      <w:rFonts w:hint="default" w:ascii="DejaVu Math TeX Gyre" w:hAnsi="DejaVu Math TeX Gyre"/>
                      <w:i/>
                      <w:sz w:val="22"/>
                    </w:rPr>
                  </m:ctrlPr>
                </m:e>
              </m:d>
            </m:oMath>
            <w:r>
              <w:t>，避免溢出</w:t>
            </w:r>
          </w:p>
        </w:tc>
      </w:tr>
      <w:tr w14:paraId="67558759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358DB">
            <w:pPr>
              <w:pStyle w:val="16"/>
            </w:pPr>
            <w:r>
              <w:t>泊松分布</w:t>
            </w:r>
          </w:p>
        </w:tc>
        <w:tc>
          <w:tcPr>
            <w:tcW w:w="35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B7F40">
            <w:pPr>
              <w:pStyle w:val="16"/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2"/>
                  </w:rPr>
                  <m:t>P(X=k)=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2"/>
                          </w:rPr>
                          <m:t>λ</m:t>
                        </m:r>
                        <m:ctrlPr>
                          <w:rPr>
                            <w:rFonts w:ascii="DejaVu Math TeX Gyre" w:hAnsi="DejaVu Math TeX Gyre"/>
                            <w:sz w:val="2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2"/>
                          </w:rPr>
                          <m:t>k</m:t>
                        </m:r>
                        <m:ctrlPr>
                          <w:rPr>
                            <w:rFonts w:ascii="DejaVu Math TeX Gyre" w:hAnsi="DejaVu Math TeX Gyre"/>
                            <w:sz w:val="22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2"/>
                          </w:rPr>
                          <m:t>e</m:t>
                        </m:r>
                        <m:ctrlPr>
                          <w:rPr>
                            <w:rFonts w:ascii="DejaVu Math TeX Gyre" w:hAnsi="DejaVu Math TeX Gyre"/>
                            <w:sz w:val="2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2"/>
                          </w:rPr>
                          <m:t>−λ</m:t>
                        </m:r>
                        <m:ctrlPr>
                          <w:rPr>
                            <w:rFonts w:ascii="DejaVu Math TeX Gyre" w:hAnsi="DejaVu Math TeX Gyre"/>
                            <w:sz w:val="22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k!</m:t>
                    </m:r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den>
                </m:f>
              </m:oMath>
            </m:oMathPara>
          </w:p>
        </w:tc>
        <w:tc>
          <w:tcPr>
            <w:tcW w:w="357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701D6">
            <w:pPr>
              <w:pStyle w:val="16"/>
            </w:pPr>
            <w:r>
              <w:t>迭代计算阶乘，优化计算效率</w:t>
            </w:r>
          </w:p>
        </w:tc>
      </w:tr>
      <w:tr w14:paraId="2CD1F40D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EA63F">
            <w:pPr>
              <w:pStyle w:val="16"/>
            </w:pPr>
            <w:r>
              <w:t>几何分布</w:t>
            </w:r>
          </w:p>
        </w:tc>
        <w:tc>
          <w:tcPr>
            <w:tcW w:w="35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D8DE9">
            <w:pPr>
              <w:pStyle w:val="16"/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2"/>
                  </w:rPr>
                  <m:t>P(X=k)=(1−p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k−1</m:t>
                    </m:r>
                    <m:ctrlPr>
                      <w:rPr>
                        <w:rFonts w:ascii="DejaVu Math TeX Gyre" w:hAnsi="DejaVu Math TeX Gyre"/>
                        <w:sz w:val="22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2"/>
                  </w:rPr>
                  <m:t>p</m:t>
                </m:r>
              </m:oMath>
            </m:oMathPara>
          </w:p>
        </w:tc>
        <w:tc>
          <w:tcPr>
            <w:tcW w:w="357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4F452">
            <w:pPr>
              <w:pStyle w:val="16"/>
            </w:pPr>
            <w:r>
              <w:t>处理 k=0 时的边界情况</w:t>
            </w:r>
          </w:p>
        </w:tc>
      </w:tr>
      <w:tr w14:paraId="491C69EB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F68B8">
            <w:pPr>
              <w:pStyle w:val="16"/>
            </w:pPr>
            <w:r>
              <w:t>超几何分布</w:t>
            </w:r>
          </w:p>
        </w:tc>
        <w:tc>
          <w:tcPr>
            <w:tcW w:w="35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D2739">
            <w:pPr>
              <w:pStyle w:val="16"/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2"/>
                  </w:rPr>
                  <m:t>P(X=k)=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hint="default" w:ascii="DejaVu Math TeX Gyre" w:hAnsi="DejaVu Math TeX Gyre"/>
                            <w:sz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2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2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/>
                                <w:sz w:val="22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2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/>
                                <w:sz w:val="22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DejaVu Math TeX Gyre" w:hAnsi="DejaVu Math TeX Gyre"/>
                            <w:i/>
                            <w:sz w:val="22"/>
                          </w:rPr>
                        </m:ctrlPr>
                      </m:e>
                    </m:d>
                    <m:d>
                      <m:dPr>
                        <m:ctrlPr>
                          <w:rPr>
                            <w:rFonts w:hint="default" w:ascii="DejaVu Math TeX Gyre" w:hAnsi="DejaVu Math TeX Gyre"/>
                            <w:sz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2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2"/>
                              </w:rPr>
                              <m:t>N−K</m:t>
                            </m:r>
                            <m:ctrlPr>
                              <w:rPr>
                                <w:rFonts w:ascii="DejaVu Math TeX Gyre" w:hAnsi="DejaVu Math TeX Gyre"/>
                                <w:sz w:val="22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2"/>
                              </w:rPr>
                              <m:t>n−k</m:t>
                            </m:r>
                            <m:ctrlPr>
                              <w:rPr>
                                <w:rFonts w:ascii="DejaVu Math TeX Gyre" w:hAnsi="DejaVu Math TeX Gyre"/>
                                <w:sz w:val="22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DejaVu Math TeX Gyre" w:hAnsi="DejaVu Math TeX Gyre"/>
                            <w:i/>
                            <w:sz w:val="22"/>
                          </w:rPr>
                        </m:ctrlPr>
                      </m:e>
                    </m:d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num>
                  <m:den>
                    <m:d>
                      <m:dPr>
                        <m:ctrlPr>
                          <w:rPr>
                            <w:rFonts w:hint="default" w:ascii="DejaVu Math TeX Gyre" w:hAnsi="DejaVu Math TeX Gyre"/>
                            <w:sz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2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2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/>
                                <w:sz w:val="22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2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/>
                                <w:sz w:val="22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DejaVu Math TeX Gyre" w:hAnsi="DejaVu Math TeX Gyre"/>
                            <w:i/>
                            <w:sz w:val="22"/>
                          </w:rPr>
                        </m:ctrlPr>
                      </m:e>
                    </m:d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den>
                </m:f>
              </m:oMath>
            </m:oMathPara>
          </w:p>
        </w:tc>
        <w:tc>
          <w:tcPr>
            <w:tcW w:w="357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BD76C">
            <w:pPr>
              <w:pStyle w:val="16"/>
            </w:pPr>
            <w:r>
              <w:t>组合数非负性校验，无效输入返回 0</w:t>
            </w:r>
          </w:p>
        </w:tc>
      </w:tr>
    </w:tbl>
    <w:p w14:paraId="08686004">
      <w:pPr>
        <w:pStyle w:val="4"/>
      </w:pPr>
      <w:r>
        <w:t>（3）数值计算技巧</w:t>
      </w:r>
    </w:p>
    <w:p w14:paraId="3E162A34">
      <w:pPr>
        <w:pStyle w:val="16"/>
        <w:numPr>
          <w:ilvl w:val="0"/>
          <w:numId w:val="2"/>
        </w:numPr>
      </w:pPr>
      <w:r>
        <w:rPr>
          <w:b/>
          <w:bCs/>
        </w:rPr>
        <w:t>CDF 计算</w:t>
      </w:r>
      <w:r>
        <w:t>：连续型分布使用梯形法数值积分，离散型分布使用累加求和</w:t>
      </w:r>
    </w:p>
    <w:p w14:paraId="5CC01B4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14"/>
      </w:tblGrid>
      <w:tr w14:paraId="6E0E3B2A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06C62">
            <w:pPr>
              <w:pStyle w:val="16"/>
            </w:pPr>
            <w:r>
              <w:t>double NormalDistribution::calculateCDF(double x) const {</w:t>
            </w:r>
          </w:p>
          <w:p w14:paraId="2B7380C0">
            <w:pPr>
              <w:pStyle w:val="16"/>
            </w:pPr>
            <w:r>
              <w:t xml:space="preserve">    // 梯形法积分PDF从-∞到x</w:t>
            </w:r>
          </w:p>
          <w:p w14:paraId="414EA81A">
            <w:pPr>
              <w:pStyle w:val="16"/>
            </w:pPr>
            <w:r>
              <w:t xml:space="preserve">    double a = getSuggestedRange().first;</w:t>
            </w:r>
          </w:p>
          <w:p w14:paraId="54F34B99">
            <w:pPr>
              <w:pStyle w:val="16"/>
            </w:pPr>
            <w:r>
              <w:t xml:space="preserve">    double b = x;</w:t>
            </w:r>
          </w:p>
          <w:p w14:paraId="2FAF0404">
            <w:pPr>
              <w:pStyle w:val="16"/>
            </w:pPr>
            <w:r>
              <w:t xml:space="preserve">    int n = 1000;</w:t>
            </w:r>
          </w:p>
          <w:p w14:paraId="1CC7A80F">
            <w:pPr>
              <w:pStyle w:val="16"/>
            </w:pPr>
            <w:r>
              <w:t xml:space="preserve">    double h = (b - a) / n;</w:t>
            </w:r>
          </w:p>
          <w:p w14:paraId="0841AF74">
            <w:pPr>
              <w:pStyle w:val="16"/>
            </w:pPr>
            <w:r>
              <w:t xml:space="preserve">    double sum = 0.5 * (calculate(a) + calculate(b));</w:t>
            </w:r>
          </w:p>
          <w:p w14:paraId="2233AE97">
            <w:pPr>
              <w:pStyle w:val="16"/>
            </w:pPr>
            <w:r>
              <w:t xml:space="preserve">    for (int i = 1; i i) {</w:t>
            </w:r>
          </w:p>
          <w:p w14:paraId="41A75E79">
            <w:pPr>
              <w:pStyle w:val="16"/>
            </w:pPr>
            <w:r>
              <w:t xml:space="preserve">        sum += calculate(a + i * h);</w:t>
            </w:r>
          </w:p>
          <w:p w14:paraId="57583A1F">
            <w:pPr>
              <w:pStyle w:val="16"/>
            </w:pPr>
            <w:r>
              <w:t xml:space="preserve">    }</w:t>
            </w:r>
          </w:p>
          <w:p w14:paraId="132AEA77">
            <w:pPr>
              <w:pStyle w:val="16"/>
            </w:pPr>
            <w:r>
              <w:t xml:space="preserve">    return sum * h;</w:t>
            </w:r>
          </w:p>
          <w:p w14:paraId="05A9841E">
            <w:pPr>
              <w:pStyle w:val="16"/>
            </w:pPr>
            <w:r>
              <w:t>}</w:t>
            </w:r>
          </w:p>
        </w:tc>
      </w:tr>
    </w:tbl>
    <w:p w14:paraId="67980EAA">
      <w:pPr>
        <w:pStyle w:val="16"/>
        <w:numPr>
          <w:ilvl w:val="0"/>
          <w:numId w:val="2"/>
        </w:numPr>
      </w:pPr>
      <w:r>
        <w:rPr>
          <w:b/>
          <w:bCs/>
        </w:rPr>
        <w:t>粒子动画</w:t>
      </w:r>
      <w:r>
        <w:t>：粒子 X 坐标服从正态分布，下落堆积后拟合曲线</w:t>
      </w:r>
    </w:p>
    <w:p w14:paraId="5B963FE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98"/>
      </w:tblGrid>
      <w:tr w14:paraId="40FCE351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0263E">
            <w:pPr>
              <w:pStyle w:val="16"/>
            </w:pPr>
            <w:r>
              <w:t>void WelcomePage::generateParticles() {</w:t>
            </w:r>
          </w:p>
          <w:p w14:paraId="703BE95F">
            <w:pPr>
              <w:pStyle w:val="16"/>
            </w:pPr>
            <w:r>
              <w:t xml:space="preserve">    for (int i = 0; i 00; ++i) {</w:t>
            </w:r>
          </w:p>
          <w:p w14:paraId="7A1644C9">
            <w:pPr>
              <w:pStyle w:val="16"/>
            </w:pPr>
            <w:r>
              <w:t xml:space="preserve">        // 生成正态分布随机数</w:t>
            </w:r>
          </w:p>
          <w:p w14:paraId="0CAFDE90">
            <w:pPr>
              <w:pStyle w:val="16"/>
            </w:pPr>
            <w:r>
              <w:t xml:space="preserve">        double x = qNormalRandom(0, 50); // 均值0，标准差50</w:t>
            </w:r>
          </w:p>
          <w:p w14:paraId="7FA1BF46">
            <w:pPr>
              <w:pStyle w:val="16"/>
            </w:pPr>
            <w:r>
              <w:t xml:space="preserve">        particles.append(QPointF(x + width()/2, 0));</w:t>
            </w:r>
          </w:p>
          <w:p w14:paraId="792444FF">
            <w:pPr>
              <w:pStyle w:val="16"/>
            </w:pPr>
            <w:r>
              <w:t xml:space="preserve">    }</w:t>
            </w:r>
          </w:p>
          <w:p w14:paraId="011389D5">
            <w:pPr>
              <w:pStyle w:val="16"/>
            </w:pPr>
            <w:r>
              <w:t>}</w:t>
            </w:r>
          </w:p>
        </w:tc>
      </w:tr>
    </w:tbl>
    <w:p w14:paraId="4B147A6E">
      <w:pPr>
        <w:pStyle w:val="2"/>
      </w:pPr>
      <w:r>
        <w:t>五、单元测试</w:t>
      </w:r>
    </w:p>
    <w:p w14:paraId="2C47EE01">
      <w:pPr>
        <w:pStyle w:val="3"/>
      </w:pPr>
      <w:r>
        <w:t>5.1 测试案例设计</w:t>
      </w:r>
    </w:p>
    <w:p w14:paraId="073B289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3"/>
        <w:gridCol w:w="2286"/>
        <w:gridCol w:w="2516"/>
        <w:gridCol w:w="2231"/>
      </w:tblGrid>
      <w:tr w14:paraId="6B88B1B2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0B5EE">
            <w:pPr>
              <w:pStyle w:val="16"/>
            </w:pPr>
            <w:r>
              <w:t>测试类型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9E8EB">
            <w:pPr>
              <w:pStyle w:val="16"/>
            </w:pPr>
            <w:r>
              <w:t>输入参数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3A759">
            <w:pPr>
              <w:pStyle w:val="16"/>
            </w:pPr>
            <w:r>
              <w:t>预期输出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64463">
            <w:pPr>
              <w:pStyle w:val="16"/>
            </w:pPr>
            <w:r>
              <w:t>测试目的</w:t>
            </w:r>
          </w:p>
        </w:tc>
      </w:tr>
      <w:tr w14:paraId="72550218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228D7">
            <w:pPr>
              <w:pStyle w:val="16"/>
            </w:pPr>
            <w:r>
              <w:t>正态分布 PDF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485B5">
            <w:pPr>
              <w:pStyle w:val="16"/>
            </w:pPr>
            <m:oMath>
              <m:r>
                <m:rPr/>
                <w:rPr>
                  <w:rFonts w:hint="default" w:ascii="DejaVu Math TeX Gyre" w:hAnsi="DejaVu Math TeX Gyre"/>
                  <w:sz w:val="22"/>
                </w:rPr>
                <m:t>μ</m:t>
              </m:r>
            </m:oMath>
            <w:r>
              <w:t xml:space="preserve">=0, </w:t>
            </w:r>
            <m:oMath>
              <m:r>
                <m:rPr/>
                <w:rPr>
                  <w:rFonts w:hint="default" w:ascii="DejaVu Math TeX Gyre" w:hAnsi="DejaVu Math TeX Gyre"/>
                  <w:sz w:val="22"/>
                </w:rPr>
                <m:t>σ</m:t>
              </m:r>
            </m:oMath>
            <w:r>
              <w:t>=1, x=0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21BE6">
            <w:pPr>
              <w:pStyle w:val="16"/>
            </w:pPr>
            <w:r>
              <w:t>0.3989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A200B">
            <w:pPr>
              <w:pStyle w:val="16"/>
            </w:pPr>
            <w:r>
              <w:t>验证标准正态分布峰值正确性</w:t>
            </w:r>
          </w:p>
        </w:tc>
      </w:tr>
      <w:tr w14:paraId="04F75721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B8DEB">
            <w:pPr>
              <w:pStyle w:val="16"/>
            </w:pPr>
            <w:r>
              <w:t>正态分布 CDF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48262">
            <w:pPr>
              <w:pStyle w:val="16"/>
            </w:pPr>
            <m:oMath>
              <m:r>
                <m:rPr/>
                <w:rPr>
                  <w:rFonts w:hint="default" w:ascii="DejaVu Math TeX Gyre" w:hAnsi="DejaVu Math TeX Gyre"/>
                  <w:sz w:val="22"/>
                </w:rPr>
                <m:t>μ=0</m:t>
              </m:r>
            </m:oMath>
            <w:r>
              <w:t xml:space="preserve">, </w:t>
            </w:r>
            <m:oMath>
              <m:r>
                <m:rPr/>
                <w:rPr>
                  <w:rFonts w:hint="default" w:ascii="DejaVu Math TeX Gyre" w:hAnsi="DejaVu Math TeX Gyre"/>
                  <w:sz w:val="22"/>
                </w:rPr>
                <m:t>σ</m:t>
              </m:r>
            </m:oMath>
            <w:r>
              <w:t>=1, x=1.96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C21B9">
            <w:pPr>
              <w:pStyle w:val="16"/>
            </w:pPr>
            <w:r>
              <w:t>≈0.975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E7978">
            <w:pPr>
              <w:pStyle w:val="16"/>
            </w:pPr>
            <w:r>
              <w:t>验证 95% 置信区间对应 CDF 值</w:t>
            </w:r>
          </w:p>
        </w:tc>
      </w:tr>
      <w:tr w14:paraId="58069115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FE750">
            <w:pPr>
              <w:pStyle w:val="16"/>
            </w:pPr>
            <w:r>
              <w:t>二项分布 PMF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81676">
            <w:pPr>
              <w:pStyle w:val="16"/>
            </w:pPr>
            <w:r>
              <w:t>n=10, p=0.5, k=5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A66A3">
            <w:pPr>
              <w:pStyle w:val="16"/>
            </w:pPr>
            <w:r>
              <w:t>0.2461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678F4">
            <w:pPr>
              <w:pStyle w:val="16"/>
            </w:pPr>
            <w:r>
              <w:t>验证对称二项分布中间值正确性</w:t>
            </w:r>
          </w:p>
        </w:tc>
      </w:tr>
      <w:tr w14:paraId="46DC997D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10CC3">
            <w:pPr>
              <w:pStyle w:val="16"/>
            </w:pPr>
            <w:r>
              <w:t>泊松分布 PMF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62955">
            <w:pPr>
              <w:pStyle w:val="16"/>
            </w:pPr>
            <m:oMath>
              <m:r>
                <m:rPr/>
                <w:rPr>
                  <w:rFonts w:hint="default" w:ascii="DejaVu Math TeX Gyre" w:hAnsi="DejaVu Math TeX Gyre"/>
                  <w:sz w:val="22"/>
                </w:rPr>
                <m:t>λ</m:t>
              </m:r>
            </m:oMath>
            <w:r>
              <w:t>=2, k=3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DD54E">
            <w:pPr>
              <w:pStyle w:val="16"/>
            </w:pPr>
            <w:r>
              <w:t>0.1804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7EDB7">
            <w:pPr>
              <w:pStyle w:val="16"/>
            </w:pPr>
            <w:r>
              <w:t>验证计数分布计算精度</w:t>
            </w:r>
          </w:p>
        </w:tc>
      </w:tr>
      <w:tr w14:paraId="4873F099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E0269">
            <w:pPr>
              <w:pStyle w:val="16"/>
            </w:pPr>
            <w:r>
              <w:t>参数调节响应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B24C3">
            <w:pPr>
              <w:pStyle w:val="16"/>
            </w:pPr>
            <w:r>
              <w:t>正态分布</w:t>
            </w:r>
            <m:oMath>
              <m:r>
                <m:rPr/>
                <w:rPr>
                  <w:rFonts w:hint="default" w:ascii="DejaVu Math TeX Gyre" w:hAnsi="DejaVu Math TeX Gyre"/>
                  <w:sz w:val="22"/>
                </w:rPr>
                <m:t>σ</m:t>
              </m:r>
            </m:oMath>
            <w:r>
              <w:t>从 1→2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18A1C">
            <w:pPr>
              <w:pStyle w:val="16"/>
            </w:pPr>
            <w:r>
              <w:t>曲线变平缓，峰值从 0.3989→0.1995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552EC">
            <w:pPr>
              <w:pStyle w:val="16"/>
            </w:pPr>
            <w:r>
              <w:t>验证参数与可视化联动正确性</w:t>
            </w:r>
          </w:p>
        </w:tc>
      </w:tr>
      <w:tr w14:paraId="383B82FA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4020D">
            <w:pPr>
              <w:pStyle w:val="16"/>
            </w:pPr>
            <w:r>
              <w:t>页面跳转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BEE73">
            <w:pPr>
              <w:pStyle w:val="16"/>
            </w:pPr>
            <w:r>
              <w:t>关系网页面点击 "正态分布"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C9F92">
            <w:pPr>
              <w:pStyle w:val="16"/>
            </w:pPr>
            <w:r>
              <w:t>跳转至详情页，默认参数</w:t>
            </w:r>
            <m:oMath>
              <m:r>
                <m:rPr/>
                <w:rPr>
                  <w:rFonts w:hint="default" w:ascii="DejaVu Math TeX Gyre" w:hAnsi="DejaVu Math TeX Gyre"/>
                  <w:sz w:val="22"/>
                </w:rPr>
                <m:t>μ</m:t>
              </m:r>
            </m:oMath>
            <w:r>
              <w:t xml:space="preserve">=0, </w:t>
            </w:r>
            <m:oMath>
              <m:r>
                <m:rPr/>
                <w:rPr>
                  <w:rFonts w:hint="default" w:ascii="DejaVu Math TeX Gyre" w:hAnsi="DejaVu Math TeX Gyre"/>
                  <w:sz w:val="22"/>
                </w:rPr>
                <m:t>σ</m:t>
              </m:r>
            </m:oMath>
            <w:r>
              <w:t>=1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20560">
            <w:pPr>
              <w:pStyle w:val="16"/>
            </w:pPr>
            <w:r>
              <w:t>验证跨页面数据传递正确性</w:t>
            </w:r>
          </w:p>
        </w:tc>
      </w:tr>
      <w:tr w14:paraId="2820324E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7C96C">
            <w:pPr>
              <w:pStyle w:val="16"/>
            </w:pPr>
            <w:r>
              <w:t>粒子动画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53393">
            <w:pPr>
              <w:pStyle w:val="16"/>
            </w:pPr>
            <w:r>
              <w:t>运行欢迎页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9C8E5">
            <w:pPr>
              <w:pStyle w:val="16"/>
            </w:pPr>
            <w:r>
              <w:t>粒子堆积形成正态分布柱状图，自动拟合平滑曲线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382F6">
            <w:pPr>
              <w:pStyle w:val="16"/>
            </w:pPr>
            <w:r>
              <w:t>验证动画逻辑与可视化效果</w:t>
            </w:r>
          </w:p>
        </w:tc>
      </w:tr>
    </w:tbl>
    <w:p w14:paraId="1216FF51">
      <w:pPr>
        <w:pStyle w:val="3"/>
      </w:pPr>
      <w:r>
        <w:t>5.2 测试结果与分析</w:t>
      </w:r>
    </w:p>
    <w:p w14:paraId="5740F97D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5"/>
        <w:gridCol w:w="2384"/>
        <w:gridCol w:w="2229"/>
        <w:gridCol w:w="2368"/>
      </w:tblGrid>
      <w:tr w14:paraId="5188B614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DA73E">
            <w:pPr>
              <w:pStyle w:val="16"/>
            </w:pPr>
            <w:r>
              <w:t>测试案例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AB191">
            <w:pPr>
              <w:pStyle w:val="16"/>
            </w:pPr>
            <w:r>
              <w:t>测试结果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A25D3">
            <w:pPr>
              <w:pStyle w:val="16"/>
            </w:pPr>
            <w:r>
              <w:t>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15510">
            <w:pPr>
              <w:pStyle w:val="16"/>
            </w:pPr>
            <w:r>
              <w:t>问题分析与解决方案</w:t>
            </w:r>
          </w:p>
        </w:tc>
      </w:tr>
      <w:tr w14:paraId="1341F161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0C2BF">
            <w:pPr>
              <w:pStyle w:val="16"/>
            </w:pPr>
            <w:r>
              <w:t>正态分布 PDF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09AE6">
            <w:pPr>
              <w:pStyle w:val="16"/>
            </w:pPr>
            <w:r>
              <w:t>0.3989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FD0EF">
            <w:pPr>
              <w:pStyle w:val="16"/>
            </w:pPr>
            <w:r>
              <w:t>通过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04209">
            <w:pPr>
              <w:pStyle w:val="16"/>
            </w:pPr>
            <w:r>
              <w:t>-</w:t>
            </w:r>
          </w:p>
        </w:tc>
      </w:tr>
      <w:tr w14:paraId="1D0EDBED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2FE0C">
            <w:pPr>
              <w:pStyle w:val="16"/>
            </w:pPr>
            <w:r>
              <w:t>正态分布 CDF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D6377">
            <w:pPr>
              <w:pStyle w:val="16"/>
            </w:pPr>
            <w:r>
              <w:t>0.9745（误差 0.0005）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877E8">
            <w:pPr>
              <w:pStyle w:val="16"/>
            </w:pPr>
            <w:r>
              <w:t>通过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18DCC">
            <w:pPr>
              <w:pStyle w:val="16"/>
            </w:pPr>
            <w:r>
              <w:t>数值积分精度满足要求（误差.1%）</w:t>
            </w:r>
          </w:p>
        </w:tc>
      </w:tr>
      <w:tr w14:paraId="09B74327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23B60">
            <w:pPr>
              <w:pStyle w:val="16"/>
            </w:pPr>
            <w:r>
              <w:t>二项分布 PMF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C1ECB">
            <w:pPr>
              <w:pStyle w:val="16"/>
            </w:pPr>
            <w:r>
              <w:t>0.2460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B88FF">
            <w:pPr>
              <w:pStyle w:val="16"/>
            </w:pPr>
            <w:r>
              <w:t>通过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1AA27">
            <w:pPr>
              <w:pStyle w:val="16"/>
            </w:pPr>
            <w:r>
              <w:t>对数计算组合数避免溢出，精度达标</w:t>
            </w:r>
          </w:p>
        </w:tc>
      </w:tr>
      <w:tr w14:paraId="6CCCF8F8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46E8B">
            <w:pPr>
              <w:pStyle w:val="16"/>
            </w:pPr>
            <w:r>
              <w:t>泊松分布 PMF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3B3CE">
            <w:pPr>
              <w:pStyle w:val="16"/>
            </w:pPr>
            <w:r>
              <w:t>0.1803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7CFC8">
            <w:pPr>
              <w:pStyle w:val="16"/>
            </w:pPr>
            <w:r>
              <w:t>通过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E66B8">
            <w:pPr>
              <w:pStyle w:val="16"/>
            </w:pPr>
            <w:r>
              <w:t>迭代阶乘计算效率高，无溢出</w:t>
            </w:r>
          </w:p>
        </w:tc>
      </w:tr>
      <w:tr w14:paraId="3CA69845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A7C47">
            <w:pPr>
              <w:pStyle w:val="16"/>
            </w:pPr>
            <w:r>
              <w:t>参数调节响应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CDAF0">
            <w:pPr>
              <w:pStyle w:val="16"/>
            </w:pPr>
            <w:r>
              <w:t>曲线平缓，峰值 0.1995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D94D2">
            <w:pPr>
              <w:pStyle w:val="16"/>
            </w:pPr>
            <w:r>
              <w:t>通过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EB1C3">
            <w:pPr>
              <w:pStyle w:val="16"/>
            </w:pPr>
            <w:r>
              <w:t>信号槽机制响应及时，无延迟</w:t>
            </w:r>
          </w:p>
        </w:tc>
      </w:tr>
      <w:tr w14:paraId="35D17D39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495E6">
            <w:pPr>
              <w:pStyle w:val="16"/>
            </w:pPr>
            <w:r>
              <w:t>页面跳转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CA652">
            <w:pPr>
              <w:pStyle w:val="16"/>
            </w:pPr>
            <w:r>
              <w:t>跳转成功，参数正确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9D604">
            <w:pPr>
              <w:pStyle w:val="16"/>
            </w:pPr>
            <w:r>
              <w:t>通过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7BE39">
            <w:pPr>
              <w:pStyle w:val="16"/>
            </w:pPr>
            <w:r>
              <w:t>分布类型枚举传递准确，无错乱</w:t>
            </w:r>
          </w:p>
        </w:tc>
      </w:tr>
      <w:tr w14:paraId="3D6E8EA9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6D1AB">
            <w:pPr>
              <w:pStyle w:val="16"/>
            </w:pPr>
            <w:r>
              <w:t>粒子动画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AC3D7">
            <w:pPr>
              <w:pStyle w:val="16"/>
            </w:pPr>
            <w:r>
              <w:t>柱状图拟合正常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B2A57">
            <w:pPr>
              <w:pStyle w:val="16"/>
            </w:pPr>
            <w:r>
              <w:t>通过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E50B6">
            <w:pPr>
              <w:pStyle w:val="16"/>
            </w:pPr>
            <w:r>
              <w:t>随机数生成符合正态分布特性</w:t>
            </w:r>
          </w:p>
        </w:tc>
      </w:tr>
    </w:tbl>
    <w:p w14:paraId="54C38797">
      <w:pPr>
        <w:pStyle w:val="4"/>
      </w:pPr>
      <w:r>
        <w:t>关键问题修复</w:t>
      </w:r>
    </w:p>
    <w:p w14:paraId="5C5E23E9">
      <w:pPr>
        <w:pStyle w:val="16"/>
        <w:numPr>
          <w:ilvl w:val="0"/>
          <w:numId w:val="2"/>
        </w:numPr>
      </w:pPr>
      <w:r>
        <w:t>初始版本中二项分布当n=100时出现数值溢出，通过对数转换</w:t>
      </w:r>
      <m:oMath>
        <m:func>
          <m:funcPr>
            <m:ctrlPr>
              <w:rPr>
                <w:rFonts w:hint="default" w:ascii="DejaVu Math TeX Gyre" w:hAnsi="DejaVu Math TeX Gyre"/>
                <w:sz w:val="22"/>
              </w:rPr>
            </m:ctrlPr>
          </m:funcPr>
          <m:fName>
            <m:r>
              <m:rPr>
                <m:sty m:val="p"/>
              </m:rPr>
              <w:rPr>
                <w:rFonts w:hint="default" w:ascii="DejaVu Math TeX Gyre" w:hAnsi="DejaVu Math TeX Gyre"/>
                <w:sz w:val="22"/>
              </w:rPr>
              <m:t>ln</m:t>
            </m:r>
            <m:ctrlPr>
              <w:rPr>
                <w:rFonts w:ascii="DejaVu Math TeX Gyre" w:hAnsi="DejaVu Math TeX Gyre"/>
                <w:sz w:val="22"/>
              </w:rPr>
            </m:ctrlPr>
          </m:fName>
          <m:e>
            <m:d>
              <m:dPr>
                <m:ctrlPr>
                  <w:rPr>
                    <w:rFonts w:hint="default" w:ascii="DejaVu Math TeX Gyre" w:hAnsi="DejaVu Math TeX Gyre"/>
                    <w:sz w:val="22"/>
                  </w:rPr>
                </m:ctrlPr>
              </m:dPr>
              <m:e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2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2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2"/>
                      </w:rPr>
                    </m:ctrlPr>
                  </m:den>
                </m:f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e>
            </m:d>
            <m:ctrlPr>
              <w:rPr>
                <w:rFonts w:hint="default" w:ascii="DejaVu Math TeX Gyre" w:hAnsi="DejaVu Math TeX Gyre"/>
                <w:sz w:val="22"/>
              </w:rPr>
            </m:ctrlPr>
          </m:e>
        </m:func>
        <m:r>
          <m:rPr/>
          <w:rPr>
            <w:rFonts w:hint="default" w:ascii="DejaVu Math TeX Gyre" w:hAnsi="DejaVu Math TeX Gyre"/>
            <w:sz w:val="22"/>
          </w:rPr>
          <m:t>=</m:t>
        </m:r>
        <m:func>
          <m:funcPr>
            <m:ctrlPr>
              <w:rPr>
                <w:rFonts w:hint="default" w:ascii="DejaVu Math TeX Gyre" w:hAnsi="DejaVu Math TeX Gyre"/>
                <w:sz w:val="22"/>
              </w:rPr>
            </m:ctrlPr>
          </m:funcPr>
          <m:fName>
            <m:r>
              <m:rPr>
                <m:sty m:val="p"/>
              </m:rPr>
              <w:rPr>
                <w:rFonts w:hint="default" w:ascii="DejaVu Math TeX Gyre" w:hAnsi="DejaVu Math TeX Gyre"/>
                <w:sz w:val="22"/>
              </w:rPr>
              <m:t>ln</m:t>
            </m:r>
            <m:ctrlPr>
              <w:rPr>
                <w:rFonts w:hint="default" w:ascii="DejaVu Math TeX Gyre" w:hAnsi="DejaVu Math TeX Gyre"/>
                <w:sz w:val="22"/>
              </w:rPr>
            </m:ctrlPr>
          </m:fName>
          <m:e>
            <m:r>
              <m:rPr/>
              <w:rPr>
                <w:rFonts w:hint="default" w:ascii="DejaVu Math TeX Gyre" w:hAnsi="DejaVu Math TeX Gyre"/>
                <w:sz w:val="22"/>
              </w:rPr>
              <m:t>n</m:t>
            </m:r>
            <m:ctrlPr>
              <w:rPr>
                <w:rFonts w:hint="default" w:ascii="DejaVu Math TeX Gyre" w:hAnsi="DejaVu Math TeX Gyre"/>
                <w:sz w:val="22"/>
              </w:rPr>
            </m:ctrlPr>
          </m:e>
        </m:func>
        <m:r>
          <m:rPr/>
          <w:rPr>
            <w:rFonts w:hint="default" w:ascii="DejaVu Math TeX Gyre" w:hAnsi="DejaVu Math TeX Gyre"/>
            <w:sz w:val="22"/>
          </w:rPr>
          <m:t>!−</m:t>
        </m:r>
        <m:func>
          <m:funcPr>
            <m:ctrlPr>
              <w:rPr>
                <w:rFonts w:hint="default" w:ascii="DejaVu Math TeX Gyre" w:hAnsi="DejaVu Math TeX Gyre"/>
                <w:sz w:val="22"/>
              </w:rPr>
            </m:ctrlPr>
          </m:funcPr>
          <m:fName>
            <m:r>
              <m:rPr>
                <m:sty m:val="p"/>
              </m:rPr>
              <w:rPr>
                <w:rFonts w:hint="default" w:ascii="DejaVu Math TeX Gyre" w:hAnsi="DejaVu Math TeX Gyre"/>
                <w:sz w:val="22"/>
              </w:rPr>
              <m:t>ln</m:t>
            </m:r>
            <m:ctrlPr>
              <w:rPr>
                <w:rFonts w:hint="default" w:ascii="DejaVu Math TeX Gyre" w:hAnsi="DejaVu Math TeX Gyre"/>
                <w:sz w:val="22"/>
              </w:rPr>
            </m:ctrlPr>
          </m:fName>
          <m:e>
            <m:r>
              <m:rPr/>
              <w:rPr>
                <w:rFonts w:hint="default" w:ascii="DejaVu Math TeX Gyre" w:hAnsi="DejaVu Math TeX Gyre"/>
                <w:sz w:val="22"/>
              </w:rPr>
              <m:t>k</m:t>
            </m:r>
            <m:ctrlPr>
              <w:rPr>
                <w:rFonts w:hint="default" w:ascii="DejaVu Math TeX Gyre" w:hAnsi="DejaVu Math TeX Gyre"/>
                <w:sz w:val="22"/>
              </w:rPr>
            </m:ctrlPr>
          </m:e>
        </m:func>
        <m:r>
          <m:rPr/>
          <w:rPr>
            <w:rFonts w:hint="default" w:ascii="DejaVu Math TeX Gyre" w:hAnsi="DejaVu Math TeX Gyre"/>
            <w:sz w:val="22"/>
          </w:rPr>
          <m:t>!−</m:t>
        </m:r>
        <m:func>
          <m:funcPr>
            <m:ctrlPr>
              <w:rPr>
                <w:rFonts w:hint="default" w:ascii="DejaVu Math TeX Gyre" w:hAnsi="DejaVu Math TeX Gyre"/>
                <w:sz w:val="22"/>
              </w:rPr>
            </m:ctrlPr>
          </m:funcPr>
          <m:fName>
            <m:r>
              <m:rPr>
                <m:sty m:val="p"/>
              </m:rPr>
              <w:rPr>
                <w:rFonts w:hint="default" w:ascii="DejaVu Math TeX Gyre" w:hAnsi="DejaVu Math TeX Gyre"/>
                <w:sz w:val="22"/>
              </w:rPr>
              <m:t>ln</m:t>
            </m:r>
            <m:ctrlPr>
              <w:rPr>
                <w:rFonts w:hint="default" w:ascii="DejaVu Math TeX Gyre" w:hAnsi="DejaVu Math TeX Gyre"/>
                <w:sz w:val="22"/>
              </w:rPr>
            </m:ctrlPr>
          </m:fName>
          <m:e>
            <m:r>
              <m:rPr/>
              <w:rPr>
                <w:rFonts w:hint="default" w:ascii="DejaVu Math TeX Gyre" w:hAnsi="DejaVu Math TeX Gyre"/>
                <w:sz w:val="22"/>
              </w:rPr>
              <m:t>(</m:t>
            </m:r>
            <m:ctrlPr>
              <w:rPr>
                <w:rFonts w:hint="default" w:ascii="DejaVu Math TeX Gyre" w:hAnsi="DejaVu Math TeX Gyre"/>
                <w:sz w:val="22"/>
              </w:rPr>
            </m:ctrlPr>
          </m:e>
        </m:func>
        <m:r>
          <m:rPr/>
          <w:rPr>
            <w:rFonts w:hint="default" w:ascii="DejaVu Math TeX Gyre" w:hAnsi="DejaVu Math TeX Gyre"/>
            <w:sz w:val="22"/>
          </w:rPr>
          <m:t>n−k)!</m:t>
        </m:r>
      </m:oMath>
      <w:r>
        <w:t xml:space="preserve"> 解决</w:t>
      </w:r>
    </w:p>
    <w:p w14:paraId="0E3CD36B">
      <w:pPr>
        <w:pStyle w:val="16"/>
        <w:numPr>
          <w:ilvl w:val="0"/>
          <w:numId w:val="2"/>
        </w:numPr>
      </w:pPr>
      <w:r>
        <w:t>卡方分布 CDF 积分收敛速度慢，将梯形法迭代次数从 500 提升至 1000，精度提升至 0.001 以内</w:t>
      </w:r>
    </w:p>
    <w:p w14:paraId="6656D193">
      <w:pPr>
        <w:pStyle w:val="2"/>
        <w:numPr>
          <w:ilvl w:val="0"/>
          <w:numId w:val="8"/>
        </w:numPr>
      </w:pPr>
      <w:r>
        <w:t>AI 工具使用</w:t>
      </w:r>
      <w:r>
        <w:rPr>
          <w:rFonts w:hint="eastAsia"/>
          <w:lang w:val="en-US" w:eastAsia="zh-CN"/>
        </w:rPr>
        <w:t>说明</w:t>
      </w:r>
    </w:p>
    <w:p w14:paraId="4EBD9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使用Gemini 3 Flash协助前期页面设计与构思，与部分函数逻辑的实现工作</w:t>
      </w:r>
    </w:p>
    <w:p w14:paraId="3E5D11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使用Trae的auto选项协助完成ui优化工作</w:t>
      </w:r>
    </w:p>
    <w:p w14:paraId="1467AF9B">
      <w:pPr>
        <w:rPr>
          <w:rFonts w:hint="default"/>
          <w:lang w:val="en-US" w:eastAsia="zh-CN"/>
        </w:rPr>
      </w:pPr>
    </w:p>
    <w:p w14:paraId="101AEC6E">
      <w:pPr>
        <w:rPr>
          <w:rFonts w:hint="default"/>
          <w:lang w:val="en-US" w:eastAsia="zh-CN"/>
        </w:rPr>
      </w:pPr>
    </w:p>
    <w:p w14:paraId="0C418A0D">
      <w:pPr>
        <w:pStyle w:val="2"/>
        <w:bidi w:val="0"/>
      </w:pPr>
      <w:r>
        <w:rPr>
          <w:rFonts w:hint="eastAsia"/>
          <w:lang w:val="en-US" w:eastAsia="zh-CN"/>
        </w:rPr>
        <w:t>七、开发收获</w:t>
      </w:r>
    </w:p>
    <w:p w14:paraId="438B082E">
      <w:pPr>
        <w:pStyle w:val="16"/>
      </w:pPr>
      <w:r>
        <w:t>7.1 技术能力提升</w:t>
      </w:r>
    </w:p>
    <w:p w14:paraId="6B587FD4">
      <w:pPr>
        <w:pStyle w:val="16"/>
        <w:numPr>
          <w:ilvl w:val="0"/>
          <w:numId w:val="9"/>
        </w:numPr>
      </w:pPr>
      <w:r>
        <w:rPr>
          <w:b/>
          <w:bCs/>
        </w:rPr>
        <w:t>Qt 图形化开发</w:t>
      </w:r>
      <w:r>
        <w:t>：掌握了 QCustomPlot 图表绘制、QWebEngineLaTeX 渲染、粒子动画生成等核心技能，理解了 Qt 信号槽机制的异步通信原理</w:t>
      </w:r>
    </w:p>
    <w:p w14:paraId="2EA97481">
      <w:pPr>
        <w:pStyle w:val="16"/>
        <w:numPr>
          <w:ilvl w:val="0"/>
          <w:numId w:val="9"/>
        </w:numPr>
      </w:pPr>
      <w:r>
        <w:rPr>
          <w:b/>
          <w:bCs/>
        </w:rPr>
        <w:t>设计模式实践</w:t>
      </w:r>
      <w:r>
        <w:t>：通过策略模式实现了 12 种分布的统一管理，工厂模式简化了实例创建，观察者模式确保了 UI 组件的联动，深刻体会到设计模式对代码扩展性的提升</w:t>
      </w:r>
    </w:p>
    <w:p w14:paraId="4F6BB834">
      <w:pPr>
        <w:pStyle w:val="16"/>
        <w:numPr>
          <w:ilvl w:val="0"/>
          <w:numId w:val="9"/>
        </w:numPr>
      </w:pPr>
      <w:r>
        <w:rPr>
          <w:b/>
          <w:bCs/>
        </w:rPr>
        <w:t>数值计算精度控制</w:t>
      </w:r>
      <w:r>
        <w:t>：解决了组合数溢出、积分收敛等问题，学会了使用对数转换、迭代计算等数值技巧，确保了统计计算的准确性</w:t>
      </w:r>
    </w:p>
    <w:p w14:paraId="5FBE213C">
      <w:pPr>
        <w:pStyle w:val="16"/>
        <w:numPr>
          <w:ilvl w:val="0"/>
          <w:numId w:val="9"/>
        </w:numPr>
      </w:pPr>
      <w:r>
        <w:rPr>
          <w:b/>
          <w:bCs/>
        </w:rPr>
        <w:t>可视化设计思维</w:t>
      </w:r>
      <w:r>
        <w:t>：理解了 3B1B 风格的视觉设计原则，通过深色主题 + 高亮色对比提升了数据可读性，粒子动画让抽象的中心极限定理变得直观</w:t>
      </w:r>
    </w:p>
    <w:p w14:paraId="388858AA">
      <w:pPr>
        <w:pStyle w:val="3"/>
      </w:pPr>
      <w:r>
        <w:t>7.2 问题解决能力提升</w:t>
      </w:r>
    </w:p>
    <w:p w14:paraId="2364A565">
      <w:pPr>
        <w:pStyle w:val="16"/>
        <w:numPr>
          <w:ilvl w:val="0"/>
          <w:numId w:val="10"/>
        </w:numPr>
      </w:pPr>
      <w:r>
        <w:rPr>
          <w:b/>
          <w:bCs/>
        </w:rPr>
        <w:t>跨页面数据传递</w:t>
      </w:r>
      <w:r>
        <w:t>：初始版本中页面间数据传递混乱，通过 MainWindow 作为中间转发者，使用信号槽机制统一数据流向，解决了状态同步问题</w:t>
      </w:r>
    </w:p>
    <w:p w14:paraId="49E70C77">
      <w:pPr>
        <w:pStyle w:val="16"/>
        <w:numPr>
          <w:ilvl w:val="0"/>
          <w:numId w:val="10"/>
        </w:numPr>
      </w:pPr>
      <w:r>
        <w:rPr>
          <w:b/>
          <w:bCs/>
        </w:rPr>
        <w:t>性能优化</w:t>
      </w:r>
      <w:r>
        <w:t>：粒子动画初始帧率较低，通过减少绘制次数（每 10ms 重绘一次）、限制粒子数量（1000 个），将帧率提升至 60fps</w:t>
      </w:r>
    </w:p>
    <w:p w14:paraId="0E5671C5">
      <w:pPr>
        <w:pStyle w:val="16"/>
        <w:numPr>
          <w:ilvl w:val="0"/>
          <w:numId w:val="10"/>
        </w:numPr>
      </w:pPr>
      <w:r>
        <w:rPr>
          <w:b/>
          <w:bCs/>
        </w:rPr>
        <w:t>数学公式渲染</w:t>
      </w:r>
      <w:r>
        <w:t>：Qt 原生不支持 LaTeX，通过集成 Qt WebEngine，加载包含 MathJax 的 HTML 页面，实现了数学公式的优雅渲染</w:t>
      </w:r>
    </w:p>
    <w:p w14:paraId="24779EFF">
      <w:pPr>
        <w:pStyle w:val="3"/>
      </w:pPr>
      <w:r>
        <w:t>7.3 工程化思维培养</w:t>
      </w:r>
    </w:p>
    <w:p w14:paraId="4DABB6B6">
      <w:pPr>
        <w:pStyle w:val="16"/>
        <w:numPr>
          <w:ilvl w:val="0"/>
          <w:numId w:val="11"/>
        </w:numPr>
      </w:pPr>
      <w:r>
        <w:rPr>
          <w:b/>
          <w:bCs/>
        </w:rPr>
        <w:t>版本控制意识</w:t>
      </w:r>
      <w:r>
        <w:t>：按照要求在 Github上进行了 非常多次版本提交，记录了从基础框架到完整功能的迭代过程，便于后续维护和问题追溯</w:t>
      </w:r>
    </w:p>
    <w:p w14:paraId="2BFF0298">
      <w:pPr>
        <w:pStyle w:val="16"/>
        <w:numPr>
          <w:ilvl w:val="0"/>
          <w:numId w:val="11"/>
        </w:numPr>
      </w:pPr>
      <w:r>
        <w:rPr>
          <w:b/>
          <w:bCs/>
        </w:rPr>
        <w:t>单元测试重要性</w:t>
      </w:r>
      <w:r>
        <w:t>：通过设计 7 个核心测试案例，提前发现了数值溢出、参数联动等问题，避免了后期集成测试中的大规模调试</w:t>
      </w:r>
    </w:p>
    <w:p w14:paraId="03C5BA97">
      <w:pPr>
        <w:pStyle w:val="16"/>
        <w:numPr>
          <w:ilvl w:val="0"/>
          <w:numId w:val="11"/>
        </w:numPr>
      </w:pPr>
      <w:r>
        <w:rPr>
          <w:b/>
          <w:bCs/>
        </w:rPr>
        <w:t>用户体验设计</w:t>
      </w:r>
      <w:r>
        <w:t>：从用户视角出发，优化了参数滑块的调节范围（根据分布类型动态调整）、曲线形式的区分，提升了应用的易用性</w:t>
      </w:r>
    </w:p>
    <w:p w14:paraId="30405ABA">
      <w:pPr>
        <w:pStyle w:val="16"/>
      </w:pPr>
    </w:p>
    <w:p w14:paraId="4EF75CF9">
      <w:pPr>
        <w:pBdr>
          <w:bottom w:val="single" w:color="auto" w:sz="6" w:space="1"/>
        </w:pBdr>
      </w:pPr>
    </w:p>
    <w:p w14:paraId="0C4B3F7F">
      <w:pPr>
        <w:pStyle w:val="16"/>
        <w:rPr>
          <w:rFonts w:hint="eastAsia" w:eastAsia="等线"/>
          <w:lang w:val="en-US" w:eastAsia="zh-CN"/>
        </w:rPr>
      </w:pPr>
      <w:r>
        <w:t>* 本项目通过可视化技术让抽象的统计学概念变得直观易懂，不仅完成了大作业的图形化、创新性要求，还为统计学学习提供了帮助与参</w:t>
      </w:r>
      <w:r>
        <w:rPr>
          <w:rFonts w:hint="eastAsia"/>
          <w:lang w:val="en-US" w:eastAsia="zh-CN"/>
        </w:rPr>
        <w:t>考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E3DF5"/>
    <w:multiLevelType w:val="multilevel"/>
    <w:tmpl w:val="9FDE3DF5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BFEF609E"/>
    <w:multiLevelType w:val="multilevel"/>
    <w:tmpl w:val="BFEF609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7FFE1547"/>
    <w:multiLevelType w:val="singleLevel"/>
    <w:tmpl w:val="7FFE1547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2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E785AB1"/>
    <w:rsid w:val="67777028"/>
    <w:rsid w:val="774CF4DF"/>
    <w:rsid w:val="775AF97F"/>
    <w:rsid w:val="BEFE1F47"/>
    <w:rsid w:val="EA9F2F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209865978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c39f863-3acd-4c6c-b939-1f12a4b14178}"/>
      </w:docPartPr>
      <w:docPartBody>
        <w:p w14:paraId="703E1145">
          <w:r>
            <w:rPr>
              <w:color w:val="808080"/>
            </w:rPr>
            <w:t>在此处键入公式。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5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20</TotalTime>
  <ScaleCrop>false</ScaleCrop>
  <LinksUpToDate>false</LinksUpToDate>
  <Application>WPS Office_7.4.1.8983_F1E327BC-269C-435d-A152-05C5408002CA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2026-05-15T01:49:00Z</dcterms:created>
  <dc:creator>Un-named</dc:creator>
  <cp:lastModifiedBy>Keter</cp:lastModifiedBy>
  <dcterms:modified xsi:type="dcterms:W3CDTF">2026-05-13T20:55:05Z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70BF5E6F09AE08E0C448046A0329E71F_42</vt:lpwstr>
  </property>
</Properties>
</file>