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Bdr>
          <w:bottom w:val="single" w:sz="18" w:space="5" w:color="2A7772"/>
        </w:pBdr>
      </w:pPr>
      <w:r>
        <w:rPr>
          <w:rFonts w:ascii="Arial" w:hAnsi="Arial"/>
          <w:b/>
          <w:color w:val="2A7772"/>
          <w:sz w:val="16"/>
        </w:rPr>
        <w:t>ESTIMATING SYSTEM - CLIENT ISSUE STANDARD</w:t>
      </w:r>
    </w:p>
    <w:p>
      <w:pPr>
        <w:pStyle w:val="Title"/>
        <w:spacing w:before="700" w:after="160"/>
      </w:pPr>
      <w:r>
        <w:t>Estimate Basis &amp; Tender Report</w:t>
      </w:r>
    </w:p>
    <w:p>
      <w:pPr>
        <w:spacing w:after="480"/>
      </w:pPr>
      <w:r>
        <w:rPr>
          <w:rFonts w:ascii="Arial" w:hAnsi="Arial"/>
          <w:color w:val="53636C"/>
          <w:sz w:val="26"/>
        </w:rPr>
        <w:t>Master specification, template and release standard</w:t>
      </w:r>
    </w:p>
    <w:p>
      <w:pPr>
        <w:spacing w:before="160" w:after="440"/>
        <w:shd w:fill="FFF4DE"/>
      </w:pPr>
      <w:r>
        <w:rPr>
          <w:rFonts w:ascii="Arial" w:hAnsi="Arial"/>
          <w:b/>
          <w:color w:val="C77C11"/>
          <w:sz w:val="20"/>
        </w:rPr>
        <w:t xml:space="preserve">  DEVELOPMENT CANDIDATE - TEST BEFORE PERMANENT PROMOTION  </w:t>
      </w:r>
    </w:p>
    <w:p>
      <w:pPr>
        <w:spacing w:after="80"/>
      </w:pPr>
      <w:r>
        <w:rPr>
          <w:rFonts w:ascii="Arial" w:hAnsi="Arial"/>
          <w:b/>
          <w:color w:val="2A7772"/>
          <w:sz w:val="15"/>
        </w:rPr>
        <w:t xml:space="preserve">REVISION  </w:t>
      </w:r>
      <w:r>
        <w:rPr>
          <w:rFonts w:ascii="Arial" w:hAnsi="Arial"/>
          <w:color w:val="27343C"/>
          <w:sz w:val="19"/>
        </w:rPr>
        <w:t>Rev2</w:t>
      </w:r>
    </w:p>
    <w:p>
      <w:pPr>
        <w:spacing w:after="80"/>
      </w:pPr>
      <w:r>
        <w:rPr>
          <w:rFonts w:ascii="Arial" w:hAnsi="Arial"/>
          <w:b/>
          <w:color w:val="2A7772"/>
          <w:sz w:val="15"/>
        </w:rPr>
        <w:t xml:space="preserve">DATE  </w:t>
      </w:r>
      <w:r>
        <w:rPr>
          <w:rFonts w:ascii="Arial" w:hAnsi="Arial"/>
          <w:color w:val="27343C"/>
          <w:sz w:val="19"/>
        </w:rPr>
        <w:t>15 August 2026</w:t>
      </w:r>
    </w:p>
    <w:p>
      <w:pPr>
        <w:spacing w:after="80"/>
      </w:pPr>
      <w:r>
        <w:rPr>
          <w:rFonts w:ascii="Arial" w:hAnsi="Arial"/>
          <w:b/>
          <w:color w:val="2A7772"/>
          <w:sz w:val="15"/>
        </w:rPr>
        <w:t xml:space="preserve">PURPOSE  </w:t>
      </w:r>
      <w:r>
        <w:rPr>
          <w:rFonts w:ascii="Arial" w:hAnsi="Arial"/>
          <w:color w:val="27343C"/>
          <w:sz w:val="19"/>
        </w:rPr>
        <w:t>Define the mandatory client-facing narrative that accompanies the estimate and programme</w:t>
      </w:r>
    </w:p>
    <w:p>
      <w:pPr>
        <w:spacing w:after="80"/>
      </w:pPr>
      <w:r>
        <w:rPr>
          <w:rFonts w:ascii="Arial" w:hAnsi="Arial"/>
          <w:b/>
          <w:color w:val="2A7772"/>
          <w:sz w:val="15"/>
        </w:rPr>
        <w:t xml:space="preserve">STATUS  </w:t>
      </w:r>
      <w:r>
        <w:rPr>
          <w:rFonts w:ascii="Arial" w:hAnsi="Arial"/>
          <w:color w:val="27343C"/>
          <w:sz w:val="19"/>
        </w:rPr>
        <w:t>Development candidate pending live-job testing</w:t>
      </w:r>
    </w:p>
    <w:p>
      <w:pPr>
        <w:spacing w:before="760"/>
        <w:pBdr>
          <w:bottom w:val="single" w:sz="5" w:space="5" w:color="D7DEE2"/>
        </w:pBdr>
      </w:pPr>
    </w:p>
    <w:p>
      <w:r>
        <w:br w:type="page"/>
      </w:r>
    </w:p>
    <w:p>
      <w:pPr>
        <w:pStyle w:val="Heading1"/>
        <w:pBdr>
          <w:bottom w:val="single" w:sz="5" w:space="5" w:color="D7DEE2"/>
        </w:pBdr>
      </w:pPr>
      <w:r>
        <w:t>1. Purpose and required issue pack</w:t>
      </w:r>
    </w:p>
    <w:p>
      <w:r>
        <w:t>For Tender and equivalent detailed estimates, the normal client issue pack should contain three aligned deliverables:</w:t>
      </w:r>
    </w:p>
    <w:p>
      <w:pPr>
        <w:pStyle w:val="ListBullet"/>
      </w:pPr>
      <w:r>
        <w:t>Estimate / Pricing Schedule - the commercial number and priced work breakdown.</w:t>
      </w:r>
    </w:p>
    <w:p>
      <w:pPr>
        <w:pStyle w:val="ListBullet"/>
      </w:pPr>
      <w:r>
        <w:t>Programme of Works - the intended sequence, working duration, calendar basis and key dependencies.</w:t>
      </w:r>
    </w:p>
    <w:p>
      <w:pPr>
        <w:pStyle w:val="ListBullet"/>
      </w:pPr>
      <w:r>
        <w:t>Estimate Basis &amp; Tender Report - the narrative record explaining what the number and programme actually mean.</w:t>
      </w:r>
    </w:p>
    <w:p>
      <w:pPr>
        <w:spacing w:before="100" w:after="160"/>
        <w:ind w:left="173"/>
        <w:pBdr>
          <w:left w:val="single" w:sz="20" w:space="8" w:color="2A7772"/>
        </w:pBdr>
      </w:pPr>
      <w:r>
        <w:rPr>
          <w:b/>
          <w:color w:val="2A7772"/>
        </w:rPr>
        <w:t>Core principle</w:t>
        <w:br/>
      </w:r>
      <w:r>
        <w:t>The Master Estimate Workbook remains the calculation source of truth. The report explains the meaning, assumptions, scope, programme and risk basis of those calculations. It must never create a second price, upgrade a release status or contradict the controlling workbook.</w:t>
      </w:r>
    </w:p>
    <w:p>
      <w:pPr>
        <w:pStyle w:val="Heading1"/>
        <w:pBdr>
          <w:bottom w:val="single" w:sz="5" w:space="5" w:color="D7DEE2"/>
        </w:pBdr>
      </w:pPr>
      <w:r>
        <w:t>2. Source-of-truth hierarchy</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3278"/>
        <w:gridCol w:w="3278"/>
        <w:gridCol w:w="3278"/>
      </w:tblGrid>
      <w:tr>
        <w:trPr>
          <w:tblHeader w:val="true"/>
          <w:cantSplit/>
        </w:trPr>
        <w:tc>
          <w:tcPr>
            <w:tcW w:type="dxa" w:w="792"/>
            <w:shd w:fill="18364A"/>
            <w:tcMar>
              <w:top w:w="75" w:type="dxa"/>
              <w:start w:w="90" w:type="dxa"/>
              <w:bottom w:w="75" w:type="dxa"/>
              <w:end w:w="90" w:type="dxa"/>
            </w:tcMar>
            <w:vAlign w:val="center"/>
          </w:tcPr>
          <w:p>
            <w:pPr>
              <w:spacing w:after="0"/>
            </w:pPr>
            <w:r>
              <w:rPr>
                <w:b/>
                <w:color w:val="FFFFFF"/>
                <w:sz w:val="16"/>
              </w:rPr>
              <w:t>Priority</w:t>
            </w:r>
          </w:p>
        </w:tc>
        <w:tc>
          <w:tcPr>
            <w:tcW w:type="dxa" w:w="3168"/>
            <w:shd w:fill="18364A"/>
            <w:tcMar>
              <w:top w:w="75" w:type="dxa"/>
              <w:start w:w="90" w:type="dxa"/>
              <w:bottom w:w="75" w:type="dxa"/>
              <w:end w:w="90" w:type="dxa"/>
            </w:tcMar>
            <w:vAlign w:val="center"/>
          </w:tcPr>
          <w:p>
            <w:pPr>
              <w:spacing w:after="0"/>
            </w:pPr>
            <w:r>
              <w:rPr>
                <w:b/>
                <w:color w:val="FFFFFF"/>
                <w:sz w:val="16"/>
              </w:rPr>
              <w:t>Source</w:t>
            </w:r>
          </w:p>
        </w:tc>
        <w:tc>
          <w:tcPr>
            <w:tcW w:type="dxa" w:w="5544"/>
            <w:shd w:fill="18364A"/>
            <w:tcMar>
              <w:top w:w="75" w:type="dxa"/>
              <w:start w:w="90" w:type="dxa"/>
              <w:bottom w:w="75" w:type="dxa"/>
              <w:end w:w="90" w:type="dxa"/>
            </w:tcMar>
            <w:vAlign w:val="center"/>
          </w:tcPr>
          <w:p>
            <w:pPr>
              <w:spacing w:after="0"/>
            </w:pPr>
            <w:r>
              <w:rPr>
                <w:b/>
                <w:color w:val="FFFFFF"/>
                <w:sz w:val="16"/>
              </w:rPr>
              <w:t>Report use</w:t>
            </w:r>
          </w:p>
        </w:tc>
      </w:tr>
      <w:tr>
        <w:trPr>
          <w:cantSplit/>
        </w:trPr>
        <w:tc>
          <w:tcPr>
            <w:tcW w:type="dxa" w:w="792"/>
            <w:tcMar>
              <w:top w:w="70" w:type="dxa"/>
              <w:start w:w="90" w:type="dxa"/>
              <w:bottom w:w="70" w:type="dxa"/>
              <w:end w:w="90" w:type="dxa"/>
            </w:tcMar>
            <w:vAlign w:val="top"/>
          </w:tcPr>
          <w:p>
            <w:pPr>
              <w:spacing w:after="0" w:line="240" w:lineRule="auto"/>
            </w:pPr>
            <w:r>
              <w:rPr>
                <w:color w:val="27343C"/>
                <w:sz w:val="17"/>
              </w:rPr>
              <w:t>1</w:t>
            </w:r>
          </w:p>
        </w:tc>
        <w:tc>
          <w:tcPr>
            <w:tcW w:type="dxa" w:w="3168"/>
            <w:tcMar>
              <w:top w:w="70" w:type="dxa"/>
              <w:start w:w="90" w:type="dxa"/>
              <w:bottom w:w="70" w:type="dxa"/>
              <w:end w:w="90" w:type="dxa"/>
            </w:tcMar>
            <w:vAlign w:val="top"/>
          </w:tcPr>
          <w:p>
            <w:pPr>
              <w:spacing w:after="0" w:line="240" w:lineRule="auto"/>
            </w:pPr>
            <w:r>
              <w:rPr>
                <w:color w:val="27343C"/>
                <w:sz w:val="17"/>
              </w:rPr>
              <w:t>Current approved Master Estimate Workbook</w:t>
            </w:r>
          </w:p>
        </w:tc>
        <w:tc>
          <w:tcPr>
            <w:tcW w:type="dxa" w:w="5544"/>
            <w:tcMar>
              <w:top w:w="70" w:type="dxa"/>
              <w:start w:w="90" w:type="dxa"/>
              <w:bottom w:w="70" w:type="dxa"/>
              <w:end w:w="90" w:type="dxa"/>
            </w:tcMar>
            <w:vAlign w:val="top"/>
          </w:tcPr>
          <w:p>
            <w:pPr>
              <w:spacing w:after="0" w:line="240" w:lineRule="auto"/>
            </w:pPr>
            <w:r>
              <w:rPr>
                <w:color w:val="27343C"/>
                <w:sz w:val="17"/>
              </w:rPr>
              <w:t>Controlling totals, quantities, commercial selections, Risk Truth, Weather Risk, release status and reconciliations.</w:t>
            </w:r>
          </w:p>
        </w:tc>
      </w:tr>
      <w:tr>
        <w:trPr>
          <w:cantSplit/>
        </w:trPr>
        <w:tc>
          <w:tcPr>
            <w:tcW w:type="dxa" w:w="792"/>
            <w:tcMar>
              <w:top w:w="70" w:type="dxa"/>
              <w:start w:w="90" w:type="dxa"/>
              <w:bottom w:w="70" w:type="dxa"/>
              <w:end w:w="90" w:type="dxa"/>
            </w:tcMar>
            <w:vAlign w:val="top"/>
            <w:shd w:fill="FAFBFB"/>
          </w:tcPr>
          <w:p>
            <w:pPr>
              <w:spacing w:after="0" w:line="240" w:lineRule="auto"/>
            </w:pPr>
            <w:r>
              <w:rPr>
                <w:color w:val="27343C"/>
                <w:sz w:val="17"/>
              </w:rPr>
              <w:t>2</w:t>
            </w:r>
          </w:p>
        </w:tc>
        <w:tc>
          <w:tcPr>
            <w:tcW w:type="dxa" w:w="3168"/>
            <w:tcMar>
              <w:top w:w="70" w:type="dxa"/>
              <w:start w:w="90" w:type="dxa"/>
              <w:bottom w:w="70" w:type="dxa"/>
              <w:end w:w="90" w:type="dxa"/>
            </w:tcMar>
            <w:vAlign w:val="top"/>
            <w:shd w:fill="FAFBFB"/>
          </w:tcPr>
          <w:p>
            <w:pPr>
              <w:spacing w:after="0" w:line="240" w:lineRule="auto"/>
            </w:pPr>
            <w:r>
              <w:rPr>
                <w:color w:val="27343C"/>
                <w:sz w:val="17"/>
              </w:rPr>
              <w:t>Current programme / Programme Export</w:t>
            </w:r>
          </w:p>
        </w:tc>
        <w:tc>
          <w:tcPr>
            <w:tcW w:type="dxa" w:w="5544"/>
            <w:tcMar>
              <w:top w:w="70" w:type="dxa"/>
              <w:start w:w="90" w:type="dxa"/>
              <w:bottom w:w="70" w:type="dxa"/>
              <w:end w:w="90" w:type="dxa"/>
            </w:tcMar>
            <w:vAlign w:val="top"/>
            <w:shd w:fill="FAFBFB"/>
          </w:tcPr>
          <w:p>
            <w:pPr>
              <w:spacing w:after="0" w:line="240" w:lineRule="auto"/>
            </w:pPr>
            <w:r>
              <w:rPr>
                <w:color w:val="27343C"/>
                <w:sz w:val="17"/>
              </w:rPr>
              <w:t>Working-day basis, sequence, dependencies, critical-path assumptions and calendar dates.</w:t>
            </w:r>
          </w:p>
        </w:tc>
      </w:tr>
      <w:tr>
        <w:trPr>
          <w:cantSplit/>
        </w:trPr>
        <w:tc>
          <w:tcPr>
            <w:tcW w:type="dxa" w:w="792"/>
            <w:tcMar>
              <w:top w:w="70" w:type="dxa"/>
              <w:start w:w="90" w:type="dxa"/>
              <w:bottom w:w="70" w:type="dxa"/>
              <w:end w:w="90" w:type="dxa"/>
            </w:tcMar>
            <w:vAlign w:val="top"/>
          </w:tcPr>
          <w:p>
            <w:pPr>
              <w:spacing w:after="0" w:line="240" w:lineRule="auto"/>
            </w:pPr>
            <w:r>
              <w:rPr>
                <w:color w:val="27343C"/>
                <w:sz w:val="17"/>
              </w:rPr>
              <w:t>3</w:t>
            </w:r>
          </w:p>
        </w:tc>
        <w:tc>
          <w:tcPr>
            <w:tcW w:type="dxa" w:w="3168"/>
            <w:tcMar>
              <w:top w:w="70" w:type="dxa"/>
              <w:start w:w="90" w:type="dxa"/>
              <w:bottom w:w="70" w:type="dxa"/>
              <w:end w:w="90" w:type="dxa"/>
            </w:tcMar>
            <w:vAlign w:val="top"/>
          </w:tcPr>
          <w:p>
            <w:pPr>
              <w:spacing w:after="0" w:line="240" w:lineRule="auto"/>
            </w:pPr>
            <w:r>
              <w:rPr>
                <w:color w:val="27343C"/>
                <w:sz w:val="17"/>
              </w:rPr>
              <w:t>Issued drawings, specifications and addenda</w:t>
            </w:r>
          </w:p>
        </w:tc>
        <w:tc>
          <w:tcPr>
            <w:tcW w:type="dxa" w:w="5544"/>
            <w:tcMar>
              <w:top w:w="70" w:type="dxa"/>
              <w:start w:w="90" w:type="dxa"/>
              <w:bottom w:w="70" w:type="dxa"/>
              <w:end w:w="90" w:type="dxa"/>
            </w:tcMar>
            <w:vAlign w:val="top"/>
          </w:tcPr>
          <w:p>
            <w:pPr>
              <w:spacing w:after="0" w:line="240" w:lineRule="auto"/>
            </w:pPr>
            <w:r>
              <w:rPr>
                <w:color w:val="27343C"/>
                <w:sz w:val="17"/>
              </w:rPr>
              <w:t>Scope, quantities, methods, exclusions and source register.</w:t>
            </w:r>
          </w:p>
        </w:tc>
      </w:tr>
      <w:tr>
        <w:trPr>
          <w:cantSplit/>
        </w:trPr>
        <w:tc>
          <w:tcPr>
            <w:tcW w:type="dxa" w:w="792"/>
            <w:tcMar>
              <w:top w:w="70" w:type="dxa"/>
              <w:start w:w="90" w:type="dxa"/>
              <w:bottom w:w="70" w:type="dxa"/>
              <w:end w:w="90" w:type="dxa"/>
            </w:tcMar>
            <w:vAlign w:val="top"/>
            <w:shd w:fill="FAFBFB"/>
          </w:tcPr>
          <w:p>
            <w:pPr>
              <w:spacing w:after="0" w:line="240" w:lineRule="auto"/>
            </w:pPr>
            <w:r>
              <w:rPr>
                <w:color w:val="27343C"/>
                <w:sz w:val="17"/>
              </w:rPr>
              <w:t>4</w:t>
            </w:r>
          </w:p>
        </w:tc>
        <w:tc>
          <w:tcPr>
            <w:tcW w:type="dxa" w:w="3168"/>
            <w:tcMar>
              <w:top w:w="70" w:type="dxa"/>
              <w:start w:w="90" w:type="dxa"/>
              <w:bottom w:w="70" w:type="dxa"/>
              <w:end w:w="90" w:type="dxa"/>
            </w:tcMar>
            <w:vAlign w:val="top"/>
            <w:shd w:fill="FAFBFB"/>
          </w:tcPr>
          <w:p>
            <w:pPr>
              <w:spacing w:after="0" w:line="240" w:lineRule="auto"/>
            </w:pPr>
            <w:r>
              <w:rPr>
                <w:color w:val="27343C"/>
                <w:sz w:val="17"/>
              </w:rPr>
              <w:t>Current project quotes / consultant evidence</w:t>
            </w:r>
          </w:p>
        </w:tc>
        <w:tc>
          <w:tcPr>
            <w:tcW w:type="dxa" w:w="5544"/>
            <w:tcMar>
              <w:top w:w="70" w:type="dxa"/>
              <w:start w:w="90" w:type="dxa"/>
              <w:bottom w:w="70" w:type="dxa"/>
              <w:end w:w="90" w:type="dxa"/>
            </w:tcMar>
            <w:vAlign w:val="top"/>
            <w:shd w:fill="FAFBFB"/>
          </w:tcPr>
          <w:p>
            <w:pPr>
              <w:spacing w:after="0" w:line="240" w:lineRule="auto"/>
            </w:pPr>
            <w:r>
              <w:rPr>
                <w:color w:val="27343C"/>
                <w:sz w:val="17"/>
              </w:rPr>
              <w:t>PC sums, quoted packages, supplier obligations and validity.</w:t>
            </w:r>
          </w:p>
        </w:tc>
      </w:tr>
      <w:tr>
        <w:trPr>
          <w:cantSplit/>
        </w:trPr>
        <w:tc>
          <w:tcPr>
            <w:tcW w:type="dxa" w:w="792"/>
            <w:tcMar>
              <w:top w:w="70" w:type="dxa"/>
              <w:start w:w="90" w:type="dxa"/>
              <w:bottom w:w="70" w:type="dxa"/>
              <w:end w:w="90" w:type="dxa"/>
            </w:tcMar>
            <w:vAlign w:val="top"/>
          </w:tcPr>
          <w:p>
            <w:pPr>
              <w:spacing w:after="0" w:line="240" w:lineRule="auto"/>
            </w:pPr>
            <w:r>
              <w:rPr>
                <w:color w:val="27343C"/>
                <w:sz w:val="17"/>
              </w:rPr>
              <w:t>5</w:t>
            </w:r>
          </w:p>
        </w:tc>
        <w:tc>
          <w:tcPr>
            <w:tcW w:type="dxa" w:w="3168"/>
            <w:tcMar>
              <w:top w:w="70" w:type="dxa"/>
              <w:start w:w="90" w:type="dxa"/>
              <w:bottom w:w="70" w:type="dxa"/>
              <w:end w:w="90" w:type="dxa"/>
            </w:tcMar>
            <w:vAlign w:val="top"/>
          </w:tcPr>
          <w:p>
            <w:pPr>
              <w:spacing w:after="0" w:line="240" w:lineRule="auto"/>
            </w:pPr>
            <w:r>
              <w:rPr>
                <w:color w:val="27343C"/>
                <w:sz w:val="17"/>
              </w:rPr>
              <w:t>Approved backend tools and libraries</w:t>
            </w:r>
          </w:p>
        </w:tc>
        <w:tc>
          <w:tcPr>
            <w:tcW w:type="dxa" w:w="5544"/>
            <w:tcMar>
              <w:top w:w="70" w:type="dxa"/>
              <w:start w:w="90" w:type="dxa"/>
              <w:bottom w:w="70" w:type="dxa"/>
              <w:end w:w="90" w:type="dxa"/>
            </w:tcMar>
            <w:vAlign w:val="top"/>
          </w:tcPr>
          <w:p>
            <w:pPr>
              <w:spacing w:after="0" w:line="240" w:lineRule="auto"/>
            </w:pPr>
            <w:r>
              <w:rPr>
                <w:color w:val="27343C"/>
                <w:sz w:val="17"/>
              </w:rPr>
              <w:t>Weather, rates, productivity, risk and other specialist evidence.</w:t>
            </w:r>
          </w:p>
        </w:tc>
      </w:tr>
    </w:tbl>
    <w:p>
      <w:pPr>
        <w:spacing w:after="20"/>
      </w:pPr>
    </w:p>
    <w:p>
      <w:pPr>
        <w:spacing w:before="100" w:after="160"/>
        <w:ind w:left="173"/>
        <w:pBdr>
          <w:left w:val="single" w:sz="20" w:space="8" w:color="A23B3B"/>
        </w:pBdr>
      </w:pPr>
      <w:r>
        <w:rPr>
          <w:b/>
          <w:color w:val="A23B3B"/>
        </w:rPr>
        <w:t>No silent correction</w:t>
        <w:br/>
      </w:r>
      <w:r>
        <w:t>If the workbook, programme or source documents conflict, the report must state the conflict and hold or qualify issue. It must not quietly choose the version that produces the cleanest narrative.</w:t>
      </w:r>
    </w:p>
    <w:p>
      <w:pPr>
        <w:pStyle w:val="Heading1"/>
        <w:pBdr>
          <w:bottom w:val="single" w:sz="5" w:space="5" w:color="D7DEE2"/>
        </w:pBdr>
      </w:pPr>
      <w:r>
        <w:t>3. Mandatory release rules</w:t>
      </w:r>
    </w:p>
    <w:p>
      <w:pPr>
        <w:pStyle w:val="ListBullet"/>
      </w:pPr>
      <w:r>
        <w:t>The report total must reconcile exactly to the controlling Tender Build-Up / Summary.</w:t>
      </w:r>
    </w:p>
    <w:p>
      <w:pPr>
        <w:pStyle w:val="ListBullet"/>
      </w:pPr>
      <w:r>
        <w:t>The report revision must identify the exact estimate/workbook revision and programme revision used.</w:t>
      </w:r>
    </w:p>
    <w:p>
      <w:pPr>
        <w:pStyle w:val="ListBullet"/>
      </w:pPr>
      <w:r>
        <w:t>The report cannot present a RED/HOLD estimate as approved or firm.</w:t>
      </w:r>
    </w:p>
    <w:p>
      <w:pPr>
        <w:pStyle w:val="ListBullet"/>
      </w:pPr>
      <w:r>
        <w:t>Material AMBER items must be disclosed in plain English with the required firm-up action.</w:t>
      </w:r>
    </w:p>
    <w:p>
      <w:pPr>
        <w:pStyle w:val="ListBullet"/>
      </w:pPr>
      <w:r>
        <w:t>Internal overhead/profit detail, raw resource costs and commercially sensitive rate build-ups are not disclosed unless the procurement model requires open-book pricing.</w:t>
      </w:r>
    </w:p>
    <w:p>
      <w:pPr>
        <w:pStyle w:val="ListBullet"/>
      </w:pPr>
      <w:r>
        <w:t>Risk Truth is summarised for the client as tender treatment and baseline; the internal risk engine is not dumped wholesale into the report.</w:t>
      </w:r>
    </w:p>
    <w:p>
      <w:pPr>
        <w:pStyle w:val="ListBullet"/>
      </w:pPr>
      <w:r>
        <w:t>Weather is explained as an evidence-based modelled allowance, not as a promise that a fixed number of rainy days is absorbed.</w:t>
      </w:r>
    </w:p>
    <w:p>
      <w:pPr>
        <w:pStyle w:val="ListBullet"/>
      </w:pPr>
      <w:r>
        <w:t>Contract entitlement remains separate from estimating allowance. The report states the priced baseline; the contract governs events outside it.</w:t>
      </w:r>
    </w:p>
    <w:p>
      <w:pPr>
        <w:pStyle w:val="ListBullet"/>
      </w:pPr>
      <w:r>
        <w:t>Any material change to price, programme, weather inputs, risk baseline, PC/provisional items or document revision requires the report to be regenerated or formally revised.</w:t>
      </w:r>
    </w:p>
    <w:p>
      <w:pPr>
        <w:pStyle w:val="ListBullet"/>
      </w:pPr>
      <w:r>
        <w:t>The report may not invent missing client, contract, scope or technical information. Missing information becomes an RFI, qualification, provisional item or exclusion.</w:t>
      </w:r>
    </w:p>
    <w:p>
      <w:pPr>
        <w:pStyle w:val="Heading1"/>
        <w:pBdr>
          <w:bottom w:val="single" w:sz="5" w:space="5" w:color="D7DEE2"/>
        </w:pBdr>
      </w:pPr>
      <w:r>
        <w:t>4. Client-facing information vs internal information</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4917"/>
        <w:gridCol w:w="4917"/>
      </w:tblGrid>
      <w:tr>
        <w:trPr>
          <w:tblHeader w:val="true"/>
          <w:cantSplit/>
        </w:trPr>
        <w:tc>
          <w:tcPr>
            <w:tcW w:type="dxa" w:w="4680"/>
            <w:shd w:fill="18364A"/>
            <w:tcMar>
              <w:top w:w="75" w:type="dxa"/>
              <w:start w:w="90" w:type="dxa"/>
              <w:bottom w:w="75" w:type="dxa"/>
              <w:end w:w="90" w:type="dxa"/>
            </w:tcMar>
            <w:vAlign w:val="center"/>
          </w:tcPr>
          <w:p>
            <w:pPr>
              <w:spacing w:after="0"/>
            </w:pPr>
            <w:r>
              <w:rPr>
                <w:b/>
                <w:color w:val="FFFFFF"/>
                <w:sz w:val="16"/>
              </w:rPr>
              <w:t>Client report normally includes</w:t>
            </w:r>
          </w:p>
        </w:tc>
        <w:tc>
          <w:tcPr>
            <w:tcW w:type="dxa" w:w="4824"/>
            <w:shd w:fill="18364A"/>
            <w:tcMar>
              <w:top w:w="75" w:type="dxa"/>
              <w:start w:w="90" w:type="dxa"/>
              <w:bottom w:w="75" w:type="dxa"/>
              <w:end w:w="90" w:type="dxa"/>
            </w:tcMar>
            <w:vAlign w:val="center"/>
          </w:tcPr>
          <w:p>
            <w:pPr>
              <w:spacing w:after="0"/>
            </w:pPr>
            <w:r>
              <w:rPr>
                <w:b/>
                <w:color w:val="FFFFFF"/>
                <w:sz w:val="16"/>
              </w:rPr>
              <w:t>Client report normally does not include</w:t>
            </w:r>
          </w:p>
        </w:tc>
      </w:tr>
      <w:tr>
        <w:trPr>
          <w:cantSplit/>
        </w:trPr>
        <w:tc>
          <w:tcPr>
            <w:tcW w:type="dxa" w:w="4680"/>
            <w:tcMar>
              <w:top w:w="70" w:type="dxa"/>
              <w:start w:w="90" w:type="dxa"/>
              <w:bottom w:w="70" w:type="dxa"/>
              <w:end w:w="90" w:type="dxa"/>
            </w:tcMar>
            <w:vAlign w:val="top"/>
          </w:tcPr>
          <w:p>
            <w:pPr>
              <w:spacing w:after="0" w:line="240" w:lineRule="auto"/>
            </w:pPr>
            <w:r>
              <w:rPr>
                <w:color w:val="27343C"/>
                <w:sz w:val="17"/>
              </w:rPr>
              <w:t>Tender total and tax basis</w:t>
            </w:r>
          </w:p>
        </w:tc>
        <w:tc>
          <w:tcPr>
            <w:tcW w:type="dxa" w:w="4824"/>
            <w:tcMar>
              <w:top w:w="70" w:type="dxa"/>
              <w:start w:w="90" w:type="dxa"/>
              <w:bottom w:w="70" w:type="dxa"/>
              <w:end w:w="90" w:type="dxa"/>
            </w:tcMar>
            <w:vAlign w:val="top"/>
          </w:tcPr>
          <w:p>
            <w:pPr>
              <w:spacing w:after="0" w:line="240" w:lineRule="auto"/>
            </w:pPr>
            <w:r>
              <w:rPr>
                <w:color w:val="27343C"/>
                <w:sz w:val="17"/>
              </w:rPr>
              <w:t>Internal labour cost / payroll assumptions</w:t>
            </w:r>
          </w:p>
        </w:tc>
      </w:tr>
      <w:tr>
        <w:trPr>
          <w:cantSplit/>
        </w:trPr>
        <w:tc>
          <w:tcPr>
            <w:tcW w:type="dxa" w:w="4680"/>
            <w:tcMar>
              <w:top w:w="70" w:type="dxa"/>
              <w:start w:w="90" w:type="dxa"/>
              <w:bottom w:w="70" w:type="dxa"/>
              <w:end w:w="90" w:type="dxa"/>
            </w:tcMar>
            <w:vAlign w:val="top"/>
            <w:shd w:fill="FAFBFB"/>
          </w:tcPr>
          <w:p>
            <w:pPr>
              <w:spacing w:after="0" w:line="240" w:lineRule="auto"/>
            </w:pPr>
            <w:r>
              <w:rPr>
                <w:color w:val="27343C"/>
                <w:sz w:val="17"/>
              </w:rPr>
              <w:t>Major scope breakdown</w:t>
            </w:r>
          </w:p>
        </w:tc>
        <w:tc>
          <w:tcPr>
            <w:tcW w:type="dxa" w:w="4824"/>
            <w:tcMar>
              <w:top w:w="70" w:type="dxa"/>
              <w:start w:w="90" w:type="dxa"/>
              <w:bottom w:w="70" w:type="dxa"/>
              <w:end w:w="90" w:type="dxa"/>
            </w:tcMar>
            <w:vAlign w:val="top"/>
            <w:shd w:fill="FAFBFB"/>
          </w:tcPr>
          <w:p>
            <w:pPr>
              <w:spacing w:after="0" w:line="240" w:lineRule="auto"/>
            </w:pPr>
            <w:r>
              <w:rPr>
                <w:color w:val="27343C"/>
                <w:sz w:val="17"/>
              </w:rPr>
              <w:t>Plant ownership economics and internal charge-out logic</w:t>
            </w:r>
          </w:p>
        </w:tc>
      </w:tr>
      <w:tr>
        <w:trPr>
          <w:cantSplit/>
        </w:trPr>
        <w:tc>
          <w:tcPr>
            <w:tcW w:type="dxa" w:w="4680"/>
            <w:tcMar>
              <w:top w:w="70" w:type="dxa"/>
              <w:start w:w="90" w:type="dxa"/>
              <w:bottom w:w="70" w:type="dxa"/>
              <w:end w:w="90" w:type="dxa"/>
            </w:tcMar>
            <w:vAlign w:val="top"/>
          </w:tcPr>
          <w:p>
            <w:pPr>
              <w:spacing w:after="0" w:line="240" w:lineRule="auto"/>
            </w:pPr>
            <w:r>
              <w:rPr>
                <w:color w:val="27343C"/>
                <w:sz w:val="17"/>
              </w:rPr>
              <w:t>PC sums / provisional quantities / allowances</w:t>
            </w:r>
          </w:p>
        </w:tc>
        <w:tc>
          <w:tcPr>
            <w:tcW w:type="dxa" w:w="4824"/>
            <w:tcMar>
              <w:top w:w="70" w:type="dxa"/>
              <w:start w:w="90" w:type="dxa"/>
              <w:bottom w:w="70" w:type="dxa"/>
              <w:end w:w="90" w:type="dxa"/>
            </w:tcMar>
            <w:vAlign w:val="top"/>
          </w:tcPr>
          <w:p>
            <w:pPr>
              <w:spacing w:after="0" w:line="240" w:lineRule="auto"/>
            </w:pPr>
            <w:r>
              <w:rPr>
                <w:color w:val="27343C"/>
                <w:sz w:val="17"/>
              </w:rPr>
              <w:t>Raw subcontractor comparison sheets unless required</w:t>
            </w:r>
          </w:p>
        </w:tc>
      </w:tr>
      <w:tr>
        <w:trPr>
          <w:cantSplit/>
        </w:trPr>
        <w:tc>
          <w:tcPr>
            <w:tcW w:type="dxa" w:w="4680"/>
            <w:tcMar>
              <w:top w:w="70" w:type="dxa"/>
              <w:start w:w="90" w:type="dxa"/>
              <w:bottom w:w="70" w:type="dxa"/>
              <w:end w:w="90" w:type="dxa"/>
            </w:tcMar>
            <w:vAlign w:val="top"/>
            <w:shd w:fill="FAFBFB"/>
          </w:tcPr>
          <w:p>
            <w:pPr>
              <w:spacing w:after="0" w:line="240" w:lineRule="auto"/>
            </w:pPr>
            <w:r>
              <w:rPr>
                <w:color w:val="27343C"/>
                <w:sz w:val="17"/>
              </w:rPr>
              <w:t>Weather basis and included effect</w:t>
            </w:r>
          </w:p>
        </w:tc>
        <w:tc>
          <w:tcPr>
            <w:tcW w:type="dxa" w:w="4824"/>
            <w:tcMar>
              <w:top w:w="70" w:type="dxa"/>
              <w:start w:w="90" w:type="dxa"/>
              <w:bottom w:w="70" w:type="dxa"/>
              <w:end w:w="90" w:type="dxa"/>
            </w:tcMar>
            <w:vAlign w:val="top"/>
            <w:shd w:fill="FAFBFB"/>
          </w:tcPr>
          <w:p>
            <w:pPr>
              <w:spacing w:after="0" w:line="240" w:lineRule="auto"/>
            </w:pPr>
            <w:r>
              <w:rPr>
                <w:color w:val="27343C"/>
                <w:sz w:val="17"/>
              </w:rPr>
              <w:t>Internal profit or overhead percentages unless open-book</w:t>
            </w:r>
          </w:p>
        </w:tc>
      </w:tr>
      <w:tr>
        <w:trPr>
          <w:cantSplit/>
        </w:trPr>
        <w:tc>
          <w:tcPr>
            <w:tcW w:type="dxa" w:w="4680"/>
            <w:tcMar>
              <w:top w:w="70" w:type="dxa"/>
              <w:start w:w="90" w:type="dxa"/>
              <w:bottom w:w="70" w:type="dxa"/>
              <w:end w:w="90" w:type="dxa"/>
            </w:tcMar>
            <w:vAlign w:val="top"/>
          </w:tcPr>
          <w:p>
            <w:pPr>
              <w:spacing w:after="0" w:line="240" w:lineRule="auto"/>
            </w:pPr>
            <w:r>
              <w:rPr>
                <w:color w:val="27343C"/>
                <w:sz w:val="17"/>
              </w:rPr>
              <w:t>Material risk treatment and tender baseline</w:t>
            </w:r>
          </w:p>
        </w:tc>
        <w:tc>
          <w:tcPr>
            <w:tcW w:type="dxa" w:w="4824"/>
            <w:tcMar>
              <w:top w:w="70" w:type="dxa"/>
              <w:start w:w="90" w:type="dxa"/>
              <w:bottom w:w="70" w:type="dxa"/>
              <w:end w:w="90" w:type="dxa"/>
            </w:tcMar>
            <w:vAlign w:val="top"/>
          </w:tcPr>
          <w:p>
            <w:pPr>
              <w:spacing w:after="0" w:line="240" w:lineRule="auto"/>
            </w:pPr>
            <w:r>
              <w:rPr>
                <w:color w:val="27343C"/>
                <w:sz w:val="17"/>
              </w:rPr>
              <w:t>Raw Risk Truth scoring, internal management notes or strategy</w:t>
            </w:r>
          </w:p>
        </w:tc>
      </w:tr>
      <w:tr>
        <w:trPr>
          <w:cantSplit/>
        </w:trPr>
        <w:tc>
          <w:tcPr>
            <w:tcW w:type="dxa" w:w="4680"/>
            <w:tcMar>
              <w:top w:w="70" w:type="dxa"/>
              <w:start w:w="90" w:type="dxa"/>
              <w:bottom w:w="70" w:type="dxa"/>
              <w:end w:w="90" w:type="dxa"/>
            </w:tcMar>
            <w:vAlign w:val="top"/>
            <w:shd w:fill="FAFBFB"/>
          </w:tcPr>
          <w:p>
            <w:pPr>
              <w:spacing w:after="0" w:line="240" w:lineRule="auto"/>
            </w:pPr>
            <w:r>
              <w:rPr>
                <w:color w:val="27343C"/>
                <w:sz w:val="17"/>
              </w:rPr>
              <w:t>Assumptions, exclusions, interfaces and RFIs</w:t>
            </w:r>
          </w:p>
        </w:tc>
        <w:tc>
          <w:tcPr>
            <w:tcW w:type="dxa" w:w="4824"/>
            <w:tcMar>
              <w:top w:w="70" w:type="dxa"/>
              <w:start w:w="90" w:type="dxa"/>
              <w:bottom w:w="70" w:type="dxa"/>
              <w:end w:w="90" w:type="dxa"/>
            </w:tcMar>
            <w:vAlign w:val="top"/>
            <w:shd w:fill="FAFBFB"/>
          </w:tcPr>
          <w:p>
            <w:pPr>
              <w:spacing w:after="0" w:line="240" w:lineRule="auto"/>
            </w:pPr>
            <w:r>
              <w:rPr>
                <w:color w:val="27343C"/>
                <w:sz w:val="17"/>
              </w:rPr>
              <w:t>Sensitive supplier negotiation positions</w:t>
            </w:r>
          </w:p>
        </w:tc>
      </w:tr>
      <w:tr>
        <w:trPr>
          <w:cantSplit/>
        </w:trPr>
        <w:tc>
          <w:tcPr>
            <w:tcW w:type="dxa" w:w="4680"/>
            <w:tcMar>
              <w:top w:w="70" w:type="dxa"/>
              <w:start w:w="90" w:type="dxa"/>
              <w:bottom w:w="70" w:type="dxa"/>
              <w:end w:w="90" w:type="dxa"/>
            </w:tcMar>
            <w:vAlign w:val="top"/>
          </w:tcPr>
          <w:p>
            <w:pPr>
              <w:spacing w:after="0" w:line="240" w:lineRule="auto"/>
            </w:pPr>
            <w:r>
              <w:rPr>
                <w:color w:val="27343C"/>
                <w:sz w:val="17"/>
              </w:rPr>
              <w:t>Programme basis and key dates</w:t>
            </w:r>
          </w:p>
        </w:tc>
        <w:tc>
          <w:tcPr>
            <w:tcW w:type="dxa" w:w="4824"/>
            <w:tcMar>
              <w:top w:w="70" w:type="dxa"/>
              <w:start w:w="90" w:type="dxa"/>
              <w:bottom w:w="70" w:type="dxa"/>
              <w:end w:w="90" w:type="dxa"/>
            </w:tcMar>
            <w:vAlign w:val="top"/>
          </w:tcPr>
          <w:p>
            <w:pPr>
              <w:spacing w:after="0" w:line="240" w:lineRule="auto"/>
            </w:pPr>
            <w:r>
              <w:rPr>
                <w:color w:val="27343C"/>
                <w:sz w:val="17"/>
              </w:rPr>
              <w:t>Unapproved internal alternative prices</w:t>
            </w:r>
          </w:p>
        </w:tc>
      </w:tr>
    </w:tbl>
    <w:p>
      <w:pPr>
        <w:spacing w:after="20"/>
      </w:pPr>
    </w:p>
    <w:p>
      <w:pPr>
        <w:pStyle w:val="Heading1"/>
        <w:pBdr>
          <w:bottom w:val="single" w:sz="5" w:space="5" w:color="D7DEE2"/>
        </w:pBdr>
      </w:pPr>
      <w:r>
        <w:t>5. Mandatory report structure</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4917"/>
        <w:gridCol w:w="4917"/>
      </w:tblGrid>
      <w:tr>
        <w:trPr>
          <w:tblHeader w:val="true"/>
          <w:cantSplit/>
        </w:trPr>
        <w:tc>
          <w:tcPr>
            <w:tcW w:type="dxa" w:w="3024"/>
            <w:shd w:fill="18364A"/>
            <w:tcMar>
              <w:top w:w="75" w:type="dxa"/>
              <w:start w:w="90" w:type="dxa"/>
              <w:bottom w:w="75" w:type="dxa"/>
              <w:end w:w="90" w:type="dxa"/>
            </w:tcMar>
            <w:vAlign w:val="center"/>
          </w:tcPr>
          <w:p>
            <w:pPr>
              <w:spacing w:after="0"/>
            </w:pPr>
            <w:r>
              <w:rPr>
                <w:b/>
                <w:color w:val="FFFFFF"/>
                <w:sz w:val="16"/>
              </w:rPr>
              <w:t>Section</w:t>
            </w:r>
          </w:p>
        </w:tc>
        <w:tc>
          <w:tcPr>
            <w:tcW w:type="dxa" w:w="6480"/>
            <w:shd w:fill="18364A"/>
            <w:tcMar>
              <w:top w:w="75" w:type="dxa"/>
              <w:start w:w="90" w:type="dxa"/>
              <w:bottom w:w="75" w:type="dxa"/>
              <w:end w:w="90" w:type="dxa"/>
            </w:tcMar>
            <w:vAlign w:val="center"/>
          </w:tcPr>
          <w:p>
            <w:pPr>
              <w:spacing w:after="0"/>
            </w:pPr>
            <w:r>
              <w:rPr>
                <w:b/>
                <w:color w:val="FFFFFF"/>
                <w:sz w:val="16"/>
              </w:rPr>
              <w:t>Required content</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1. Executive Summary</w:t>
            </w:r>
          </w:p>
        </w:tc>
        <w:tc>
          <w:tcPr>
            <w:tcW w:type="dxa" w:w="6480"/>
            <w:tcMar>
              <w:top w:w="70" w:type="dxa"/>
              <w:start w:w="90" w:type="dxa"/>
              <w:bottom w:w="70" w:type="dxa"/>
              <w:end w:w="90" w:type="dxa"/>
            </w:tcMar>
            <w:vAlign w:val="top"/>
          </w:tcPr>
          <w:p>
            <w:pPr>
              <w:spacing w:after="0" w:line="240" w:lineRule="auto"/>
            </w:pPr>
            <w:r>
              <w:rPr>
                <w:color w:val="27343C"/>
                <w:sz w:val="17"/>
              </w:rPr>
              <w:t>Project, work package, estimate revision/status, tender total, programme headline, validity and key caveat.</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2. Project Understanding</w:t>
            </w:r>
          </w:p>
        </w:tc>
        <w:tc>
          <w:tcPr>
            <w:tcW w:type="dxa" w:w="6480"/>
            <w:tcMar>
              <w:top w:w="70" w:type="dxa"/>
              <w:start w:w="90" w:type="dxa"/>
              <w:bottom w:w="70" w:type="dxa"/>
              <w:end w:w="90" w:type="dxa"/>
            </w:tcMar>
            <w:vAlign w:val="top"/>
            <w:shd w:fill="FAFBFB"/>
          </w:tcPr>
          <w:p>
            <w:pPr>
              <w:spacing w:after="0" w:line="240" w:lineRule="auto"/>
            </w:pPr>
            <w:r>
              <w:rPr>
                <w:color w:val="27343C"/>
                <w:sz w:val="17"/>
              </w:rPr>
              <w:t>What is being built, why, work-package boundary and dominant cost/programme drivers.</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3. Basis Documents</w:t>
            </w:r>
          </w:p>
        </w:tc>
        <w:tc>
          <w:tcPr>
            <w:tcW w:type="dxa" w:w="6480"/>
            <w:tcMar>
              <w:top w:w="70" w:type="dxa"/>
              <w:start w:w="90" w:type="dxa"/>
              <w:bottom w:w="70" w:type="dxa"/>
              <w:end w:w="90" w:type="dxa"/>
            </w:tcMar>
            <w:vAlign w:val="top"/>
          </w:tcPr>
          <w:p>
            <w:pPr>
              <w:spacing w:after="0" w:line="240" w:lineRule="auto"/>
            </w:pPr>
            <w:r>
              <w:rPr>
                <w:color w:val="27343C"/>
                <w:sz w:val="17"/>
              </w:rPr>
              <w:t>Drawing/specification/addenda register used for the estimate, with revision/date and outstanding documents.</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4. Scope Included</w:t>
            </w:r>
          </w:p>
        </w:tc>
        <w:tc>
          <w:tcPr>
            <w:tcW w:type="dxa" w:w="6480"/>
            <w:tcMar>
              <w:top w:w="70" w:type="dxa"/>
              <w:start w:w="90" w:type="dxa"/>
              <w:bottom w:w="70" w:type="dxa"/>
              <w:end w:w="90" w:type="dxa"/>
            </w:tcMar>
            <w:vAlign w:val="top"/>
            <w:shd w:fill="FAFBFB"/>
          </w:tcPr>
          <w:p>
            <w:pPr>
              <w:spacing w:after="0" w:line="240" w:lineRule="auto"/>
            </w:pPr>
            <w:r>
              <w:rPr>
                <w:color w:val="27343C"/>
                <w:sz w:val="17"/>
              </w:rPr>
              <w:t>Practical work-package scope by construction heading.</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5. Exclusions and By Others</w:t>
            </w:r>
          </w:p>
        </w:tc>
        <w:tc>
          <w:tcPr>
            <w:tcW w:type="dxa" w:w="6480"/>
            <w:tcMar>
              <w:top w:w="70" w:type="dxa"/>
              <w:start w:w="90" w:type="dxa"/>
              <w:bottom w:w="70" w:type="dxa"/>
              <w:end w:w="90" w:type="dxa"/>
            </w:tcMar>
            <w:vAlign w:val="top"/>
          </w:tcPr>
          <w:p>
            <w:pPr>
              <w:spacing w:after="0" w:line="240" w:lineRule="auto"/>
            </w:pPr>
            <w:r>
              <w:rPr>
                <w:color w:val="27343C"/>
                <w:sz w:val="17"/>
              </w:rPr>
              <w:t>Explicit defensive exclusions and interfaces.</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6. Estimate Assumptions</w:t>
            </w:r>
          </w:p>
        </w:tc>
        <w:tc>
          <w:tcPr>
            <w:tcW w:type="dxa" w:w="6480"/>
            <w:tcMar>
              <w:top w:w="70" w:type="dxa"/>
              <w:start w:w="90" w:type="dxa"/>
              <w:bottom w:w="70" w:type="dxa"/>
              <w:end w:w="90" w:type="dxa"/>
            </w:tcMar>
            <w:vAlign w:val="top"/>
            <w:shd w:fill="FAFBFB"/>
          </w:tcPr>
          <w:p>
            <w:pPr>
              <w:spacing w:after="0" w:line="240" w:lineRule="auto"/>
            </w:pPr>
            <w:r>
              <w:rPr>
                <w:color w:val="27343C"/>
                <w:sz w:val="17"/>
              </w:rPr>
              <w:t>Access, haul, ground, hours, testing, methodology, programme, commercial and other estimate assumptions.</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7. Pricing Basis and Summary</w:t>
            </w:r>
          </w:p>
        </w:tc>
        <w:tc>
          <w:tcPr>
            <w:tcW w:type="dxa" w:w="6480"/>
            <w:tcMar>
              <w:top w:w="70" w:type="dxa"/>
              <w:start w:w="90" w:type="dxa"/>
              <w:bottom w:w="70" w:type="dxa"/>
              <w:end w:w="90" w:type="dxa"/>
            </w:tcMar>
            <w:vAlign w:val="top"/>
          </w:tcPr>
          <w:p>
            <w:pPr>
              <w:spacing w:after="0" w:line="240" w:lineRule="auto"/>
            </w:pPr>
            <w:r>
              <w:rPr>
                <w:color w:val="27343C"/>
                <w:sz w:val="17"/>
              </w:rPr>
              <w:t>Client-level price breakdown, classification of allowance/PC/provisional items and tax basis.</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8. Programme Basis</w:t>
            </w:r>
          </w:p>
        </w:tc>
        <w:tc>
          <w:tcPr>
            <w:tcW w:type="dxa" w:w="6480"/>
            <w:tcMar>
              <w:top w:w="70" w:type="dxa"/>
              <w:start w:w="90" w:type="dxa"/>
              <w:bottom w:w="70" w:type="dxa"/>
              <w:end w:w="90" w:type="dxa"/>
            </w:tcMar>
            <w:vAlign w:val="top"/>
            <w:shd w:fill="FAFBFB"/>
          </w:tcPr>
          <w:p>
            <w:pPr>
              <w:spacing w:after="0" w:line="240" w:lineRule="auto"/>
            </w:pPr>
            <w:r>
              <w:rPr>
                <w:color w:val="27343C"/>
                <w:sz w:val="17"/>
              </w:rPr>
              <w:t>Start assumption, working calendar, productive/working/elapsed duration, sequence, work fronts, hold points and long leads.</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9. Weather Basis</w:t>
            </w:r>
          </w:p>
        </w:tc>
        <w:tc>
          <w:tcPr>
            <w:tcW w:type="dxa" w:w="6480"/>
            <w:tcMar>
              <w:top w:w="70" w:type="dxa"/>
              <w:start w:w="90" w:type="dxa"/>
              <w:bottom w:w="70" w:type="dxa"/>
              <w:end w:w="90" w:type="dxa"/>
            </w:tcMar>
            <w:vAlign w:val="top"/>
          </w:tcPr>
          <w:p>
            <w:pPr>
              <w:spacing w:after="0" w:line="240" w:lineRule="auto"/>
            </w:pPr>
            <w:r>
              <w:rPr>
                <w:color w:val="27343C"/>
                <w:sz w:val="17"/>
              </w:rPr>
              <w:t>Station/tool/version, task exposure, normal-weather treatment, cost buckets, programme effect, status and rerun trigger.</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10. Risk Basis</w:t>
            </w:r>
          </w:p>
        </w:tc>
        <w:tc>
          <w:tcPr>
            <w:tcW w:type="dxa" w:w="6480"/>
            <w:tcMar>
              <w:top w:w="70" w:type="dxa"/>
              <w:start w:w="90" w:type="dxa"/>
              <w:bottom w:w="70" w:type="dxa"/>
              <w:end w:w="90" w:type="dxa"/>
            </w:tcMar>
            <w:vAlign w:val="top"/>
            <w:shd w:fill="FAFBFB"/>
          </w:tcPr>
          <w:p>
            <w:pPr>
              <w:spacing w:after="0" w:line="240" w:lineRule="auto"/>
            </w:pPr>
            <w:r>
              <w:rPr>
                <w:color w:val="27343C"/>
                <w:sz w:val="17"/>
              </w:rPr>
              <w:t>Material foreseeable risks, tender baseline, included treatment, provisional/excluded treatment and outside-baseline principle.</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11. PC Sums, Provisional Quantities and Allowances</w:t>
            </w:r>
          </w:p>
        </w:tc>
        <w:tc>
          <w:tcPr>
            <w:tcW w:type="dxa" w:w="6480"/>
            <w:tcMar>
              <w:top w:w="70" w:type="dxa"/>
              <w:start w:w="90" w:type="dxa"/>
              <w:bottom w:w="70" w:type="dxa"/>
              <w:end w:w="90" w:type="dxa"/>
            </w:tcMar>
            <w:vAlign w:val="top"/>
          </w:tcPr>
          <w:p>
            <w:pPr>
              <w:spacing w:after="0" w:line="240" w:lineRule="auto"/>
            </w:pPr>
            <w:r>
              <w:rPr>
                <w:color w:val="27343C"/>
                <w:sz w:val="17"/>
              </w:rPr>
              <w:t>Separate register identifying amount/quantity, basis, uncertainty and closeout action.</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12. RFIs and Outstanding Information</w:t>
            </w:r>
          </w:p>
        </w:tc>
        <w:tc>
          <w:tcPr>
            <w:tcW w:type="dxa" w:w="6480"/>
            <w:tcMar>
              <w:top w:w="70" w:type="dxa"/>
              <w:start w:w="90" w:type="dxa"/>
              <w:bottom w:w="70" w:type="dxa"/>
              <w:end w:w="90" w:type="dxa"/>
            </w:tcMar>
            <w:vAlign w:val="top"/>
            <w:shd w:fill="FAFBFB"/>
          </w:tcPr>
          <w:p>
            <w:pPr>
              <w:spacing w:after="0" w:line="240" w:lineRule="auto"/>
            </w:pPr>
            <w:r>
              <w:rPr>
                <w:color w:val="27343C"/>
                <w:sz w:val="17"/>
              </w:rPr>
              <w:t>Material issues that can change quantity, method, programme or cost.</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13. Verification / Confidence Position</w:t>
            </w:r>
          </w:p>
        </w:tc>
        <w:tc>
          <w:tcPr>
            <w:tcW w:type="dxa" w:w="6480"/>
            <w:tcMar>
              <w:top w:w="70" w:type="dxa"/>
              <w:start w:w="90" w:type="dxa"/>
              <w:bottom w:w="70" w:type="dxa"/>
              <w:end w:w="90" w:type="dxa"/>
            </w:tcMar>
            <w:vAlign w:val="top"/>
          </w:tcPr>
          <w:p>
            <w:pPr>
              <w:spacing w:after="0" w:line="240" w:lineRule="auto"/>
            </w:pPr>
            <w:r>
              <w:rPr>
                <w:color w:val="27343C"/>
                <w:sz w:val="17"/>
              </w:rPr>
              <w:t>Client-readable summary of verified versus allowance/outstanding status and release state.</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14. Tender Qualifications and Validity</w:t>
            </w:r>
          </w:p>
        </w:tc>
        <w:tc>
          <w:tcPr>
            <w:tcW w:type="dxa" w:w="6480"/>
            <w:tcMar>
              <w:top w:w="70" w:type="dxa"/>
              <w:start w:w="90" w:type="dxa"/>
              <w:bottom w:w="70" w:type="dxa"/>
              <w:end w:w="90" w:type="dxa"/>
            </w:tcMar>
            <w:vAlign w:val="top"/>
            <w:shd w:fill="FAFBFB"/>
          </w:tcPr>
          <w:p>
            <w:pPr>
              <w:spacing w:after="0" w:line="240" w:lineRule="auto"/>
            </w:pPr>
            <w:r>
              <w:rPr>
                <w:color w:val="27343C"/>
                <w:sz w:val="17"/>
              </w:rPr>
              <w:t>Validity, escalation basis, approvals, possession/access dependencies, GST and revision-control statements.</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15. Attachments and Reconciliation</w:t>
            </w:r>
          </w:p>
        </w:tc>
        <w:tc>
          <w:tcPr>
            <w:tcW w:type="dxa" w:w="6480"/>
            <w:tcMar>
              <w:top w:w="70" w:type="dxa"/>
              <w:start w:w="90" w:type="dxa"/>
              <w:bottom w:w="70" w:type="dxa"/>
              <w:end w:w="90" w:type="dxa"/>
            </w:tcMar>
            <w:vAlign w:val="top"/>
          </w:tcPr>
          <w:p>
            <w:pPr>
              <w:spacing w:after="0" w:line="240" w:lineRule="auto"/>
            </w:pPr>
            <w:r>
              <w:rPr>
                <w:color w:val="27343C"/>
                <w:sz w:val="17"/>
              </w:rPr>
              <w:t>Exact estimate and programme revisions that form the issue pack.</w:t>
            </w:r>
          </w:p>
        </w:tc>
      </w:tr>
    </w:tbl>
    <w:p>
      <w:pPr>
        <w:spacing w:after="20"/>
      </w:pPr>
    </w:p>
    <w:p>
      <w:pPr>
        <w:pStyle w:val="Heading1"/>
        <w:pBdr>
          <w:bottom w:val="single" w:sz="5" w:space="5" w:color="D7DEE2"/>
        </w:pBdr>
      </w:pPr>
      <w:r>
        <w:t>6. Executive Summary standard</w:t>
      </w:r>
    </w:p>
    <w:p>
      <w:r>
        <w:t>The first page must allow a director, client or project manager to understand the commercial position without reading the entire report. Include:</w:t>
      </w:r>
    </w:p>
    <w:p>
      <w:pPr>
        <w:pStyle w:val="ListBullet"/>
      </w:pPr>
      <w:r>
        <w:t>Project and location</w:t>
      </w:r>
    </w:p>
    <w:p>
      <w:pPr>
        <w:pStyle w:val="ListBullet"/>
      </w:pPr>
      <w:r>
        <w:t>Nominated work package</w:t>
      </w:r>
    </w:p>
    <w:p>
      <w:pPr>
        <w:pStyle w:val="ListBullet"/>
      </w:pPr>
      <w:r>
        <w:t>Estimate type/status and revision</w:t>
      </w:r>
    </w:p>
    <w:p>
      <w:pPr>
        <w:pStyle w:val="ListBullet"/>
      </w:pPr>
      <w:r>
        <w:t>Tender total excl. GST and GST treatment</w:t>
      </w:r>
    </w:p>
    <w:p>
      <w:pPr>
        <w:pStyle w:val="ListBullet"/>
      </w:pPr>
      <w:r>
        <w:t>Programme start assumption and baseline duration</w:t>
      </w:r>
    </w:p>
    <w:p>
      <w:pPr>
        <w:pStyle w:val="ListBullet"/>
      </w:pPr>
      <w:r>
        <w:t>Headline weather/risk treatment</w:t>
      </w:r>
    </w:p>
    <w:p>
      <w:pPr>
        <w:pStyle w:val="ListBullet"/>
      </w:pPr>
      <w:r>
        <w:t>Three to five major qualifications or outstanding items</w:t>
      </w:r>
    </w:p>
    <w:p>
      <w:pPr>
        <w:pStyle w:val="ListBullet"/>
      </w:pPr>
      <w:r>
        <w:t>Tender validity</w:t>
      </w:r>
    </w:p>
    <w:p>
      <w:pPr>
        <w:pStyle w:val="ListBullet"/>
      </w:pPr>
      <w:r>
        <w:t>Explicit release status: Approved / Tender with disclosed limitations / HOLD - not for issue</w:t>
      </w:r>
    </w:p>
    <w:p>
      <w:pPr>
        <w:pStyle w:val="Heading1"/>
        <w:pBdr>
          <w:bottom w:val="single" w:sz="5" w:space="5" w:color="D7DEE2"/>
        </w:pBdr>
      </w:pPr>
      <w:r>
        <w:t>7. Pricing presentation rules</w:t>
      </w:r>
    </w:p>
    <w:p>
      <w:pPr>
        <w:spacing w:before="100" w:after="160"/>
        <w:ind w:left="173"/>
        <w:pBdr>
          <w:left w:val="single" w:sz="20" w:space="8" w:color="2A7772"/>
        </w:pBdr>
      </w:pPr>
      <w:r>
        <w:rPr>
          <w:b/>
          <w:color w:val="2A7772"/>
        </w:rPr>
        <w:t>Client-level, not open-book by accident</w:t>
        <w:br/>
      </w:r>
      <w:r>
        <w:t>Use WBS/section totals and clearly identified PC/provisional/allowance items. Do not expose internal profit, overhead recovery, wage build-ups, supplier negotiation positions or sensitive resource data unless contractually required.</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4917"/>
        <w:gridCol w:w="4917"/>
      </w:tblGrid>
      <w:tr>
        <w:trPr>
          <w:tblHeader w:val="true"/>
          <w:cantSplit/>
        </w:trPr>
        <w:tc>
          <w:tcPr>
            <w:tcW w:type="dxa" w:w="2880"/>
            <w:shd w:fill="18364A"/>
            <w:tcMar>
              <w:top w:w="75" w:type="dxa"/>
              <w:start w:w="90" w:type="dxa"/>
              <w:bottom w:w="75" w:type="dxa"/>
              <w:end w:w="90" w:type="dxa"/>
            </w:tcMar>
            <w:vAlign w:val="center"/>
          </w:tcPr>
          <w:p>
            <w:pPr>
              <w:spacing w:after="0"/>
            </w:pPr>
            <w:r>
              <w:rPr>
                <w:b/>
                <w:color w:val="FFFFFF"/>
                <w:sz w:val="16"/>
              </w:rPr>
              <w:t>Classification</w:t>
            </w:r>
          </w:p>
        </w:tc>
        <w:tc>
          <w:tcPr>
            <w:tcW w:type="dxa" w:w="6624"/>
            <w:shd w:fill="18364A"/>
            <w:tcMar>
              <w:top w:w="75" w:type="dxa"/>
              <w:start w:w="90" w:type="dxa"/>
              <w:bottom w:w="75" w:type="dxa"/>
              <w:end w:w="90" w:type="dxa"/>
            </w:tcMar>
            <w:vAlign w:val="center"/>
          </w:tcPr>
          <w:p>
            <w:pPr>
              <w:spacing w:after="0"/>
            </w:pPr>
            <w:r>
              <w:rPr>
                <w:b/>
                <w:color w:val="FFFFFF"/>
                <w:sz w:val="16"/>
              </w:rPr>
              <w:t>Client wording</w:t>
            </w:r>
          </w:p>
        </w:tc>
      </w:tr>
      <w:tr>
        <w:trPr>
          <w:cantSplit/>
        </w:trPr>
        <w:tc>
          <w:tcPr>
            <w:tcW w:type="dxa" w:w="2880"/>
            <w:tcMar>
              <w:top w:w="70" w:type="dxa"/>
              <w:start w:w="90" w:type="dxa"/>
              <w:bottom w:w="70" w:type="dxa"/>
              <w:end w:w="90" w:type="dxa"/>
            </w:tcMar>
            <w:vAlign w:val="top"/>
          </w:tcPr>
          <w:p>
            <w:pPr>
              <w:spacing w:after="0" w:line="240" w:lineRule="auto"/>
            </w:pPr>
            <w:r>
              <w:rPr>
                <w:color w:val="27343C"/>
                <w:sz w:val="17"/>
              </w:rPr>
              <w:t>Measured / priced</w:t>
            </w:r>
          </w:p>
        </w:tc>
        <w:tc>
          <w:tcPr>
            <w:tcW w:type="dxa" w:w="6624"/>
            <w:tcMar>
              <w:top w:w="70" w:type="dxa"/>
              <w:start w:w="90" w:type="dxa"/>
              <w:bottom w:w="70" w:type="dxa"/>
              <w:end w:w="90" w:type="dxa"/>
            </w:tcMar>
            <w:vAlign w:val="top"/>
          </w:tcPr>
          <w:p>
            <w:pPr>
              <w:spacing w:after="0" w:line="240" w:lineRule="auto"/>
            </w:pPr>
            <w:r>
              <w:rPr>
                <w:color w:val="27343C"/>
                <w:sz w:val="17"/>
              </w:rPr>
              <w:t>Included in tender based on the listed drawing/specification basis.</w:t>
            </w:r>
          </w:p>
        </w:tc>
      </w:tr>
      <w:tr>
        <w:trPr>
          <w:cantSplit/>
        </w:trPr>
        <w:tc>
          <w:tcPr>
            <w:tcW w:type="dxa" w:w="2880"/>
            <w:tcMar>
              <w:top w:w="70" w:type="dxa"/>
              <w:start w:w="90" w:type="dxa"/>
              <w:bottom w:w="70" w:type="dxa"/>
              <w:end w:w="90" w:type="dxa"/>
            </w:tcMar>
            <w:vAlign w:val="top"/>
            <w:shd w:fill="FAFBFB"/>
          </w:tcPr>
          <w:p>
            <w:pPr>
              <w:spacing w:after="0" w:line="240" w:lineRule="auto"/>
            </w:pPr>
            <w:r>
              <w:rPr>
                <w:color w:val="27343C"/>
                <w:sz w:val="17"/>
              </w:rPr>
              <w:t>Quoted</w:t>
            </w:r>
          </w:p>
        </w:tc>
        <w:tc>
          <w:tcPr>
            <w:tcW w:type="dxa" w:w="6624"/>
            <w:tcMar>
              <w:top w:w="70" w:type="dxa"/>
              <w:start w:w="90" w:type="dxa"/>
              <w:bottom w:w="70" w:type="dxa"/>
              <w:end w:w="90" w:type="dxa"/>
            </w:tcMar>
            <w:vAlign w:val="top"/>
            <w:shd w:fill="FAFBFB"/>
          </w:tcPr>
          <w:p>
            <w:pPr>
              <w:spacing w:after="0" w:line="240" w:lineRule="auto"/>
            </w:pPr>
            <w:r>
              <w:rPr>
                <w:color w:val="27343C"/>
                <w:sz w:val="17"/>
              </w:rPr>
              <w:t>Based on current project-specific quotation; state quote date/validity where material.</w:t>
            </w:r>
          </w:p>
        </w:tc>
      </w:tr>
      <w:tr>
        <w:trPr>
          <w:cantSplit/>
        </w:trPr>
        <w:tc>
          <w:tcPr>
            <w:tcW w:type="dxa" w:w="2880"/>
            <w:tcMar>
              <w:top w:w="70" w:type="dxa"/>
              <w:start w:w="90" w:type="dxa"/>
              <w:bottom w:w="70" w:type="dxa"/>
              <w:end w:w="90" w:type="dxa"/>
            </w:tcMar>
            <w:vAlign w:val="top"/>
          </w:tcPr>
          <w:p>
            <w:pPr>
              <w:spacing w:after="0" w:line="240" w:lineRule="auto"/>
            </w:pPr>
            <w:r>
              <w:rPr>
                <w:color w:val="27343C"/>
                <w:sz w:val="17"/>
              </w:rPr>
              <w:t>PC Sum</w:t>
            </w:r>
          </w:p>
        </w:tc>
        <w:tc>
          <w:tcPr>
            <w:tcW w:type="dxa" w:w="6624"/>
            <w:tcMar>
              <w:top w:w="70" w:type="dxa"/>
              <w:start w:w="90" w:type="dxa"/>
              <w:bottom w:w="70" w:type="dxa"/>
              <w:end w:w="90" w:type="dxa"/>
            </w:tcMar>
            <w:vAlign w:val="top"/>
          </w:tcPr>
          <w:p>
            <w:pPr>
              <w:spacing w:after="0" w:line="240" w:lineRule="auto"/>
            </w:pPr>
            <w:r>
              <w:rPr>
                <w:color w:val="27343C"/>
                <w:sz w:val="17"/>
              </w:rPr>
              <w:t>Budget allowance pending final supplier/design confirmation.</w:t>
            </w:r>
          </w:p>
        </w:tc>
      </w:tr>
      <w:tr>
        <w:trPr>
          <w:cantSplit/>
        </w:trPr>
        <w:tc>
          <w:tcPr>
            <w:tcW w:type="dxa" w:w="2880"/>
            <w:tcMar>
              <w:top w:w="70" w:type="dxa"/>
              <w:start w:w="90" w:type="dxa"/>
              <w:bottom w:w="70" w:type="dxa"/>
              <w:end w:w="90" w:type="dxa"/>
            </w:tcMar>
            <w:vAlign w:val="top"/>
            <w:shd w:fill="FAFBFB"/>
          </w:tcPr>
          <w:p>
            <w:pPr>
              <w:spacing w:after="0" w:line="240" w:lineRule="auto"/>
            </w:pPr>
            <w:r>
              <w:rPr>
                <w:color w:val="27343C"/>
                <w:sz w:val="17"/>
              </w:rPr>
              <w:t>Provisional Quantity</w:t>
            </w:r>
          </w:p>
        </w:tc>
        <w:tc>
          <w:tcPr>
            <w:tcW w:type="dxa" w:w="6624"/>
            <w:tcMar>
              <w:top w:w="70" w:type="dxa"/>
              <w:start w:w="90" w:type="dxa"/>
              <w:bottom w:w="70" w:type="dxa"/>
              <w:end w:w="90" w:type="dxa"/>
            </w:tcMar>
            <w:vAlign w:val="top"/>
            <w:shd w:fill="FAFBFB"/>
          </w:tcPr>
          <w:p>
            <w:pPr>
              <w:spacing w:after="0" w:line="240" w:lineRule="auto"/>
            </w:pPr>
            <w:r>
              <w:rPr>
                <w:color w:val="27343C"/>
                <w:sz w:val="17"/>
              </w:rPr>
              <w:t>Quantity basis stated; final value subject to actual measured/confirmed extent.</w:t>
            </w:r>
          </w:p>
        </w:tc>
      </w:tr>
      <w:tr>
        <w:trPr>
          <w:cantSplit/>
        </w:trPr>
        <w:tc>
          <w:tcPr>
            <w:tcW w:type="dxa" w:w="2880"/>
            <w:tcMar>
              <w:top w:w="70" w:type="dxa"/>
              <w:start w:w="90" w:type="dxa"/>
              <w:bottom w:w="70" w:type="dxa"/>
              <w:end w:w="90" w:type="dxa"/>
            </w:tcMar>
            <w:vAlign w:val="top"/>
          </w:tcPr>
          <w:p>
            <w:pPr>
              <w:spacing w:after="0" w:line="240" w:lineRule="auto"/>
            </w:pPr>
            <w:r>
              <w:rPr>
                <w:color w:val="27343C"/>
                <w:sz w:val="17"/>
              </w:rPr>
              <w:t>Allowance</w:t>
            </w:r>
          </w:p>
        </w:tc>
        <w:tc>
          <w:tcPr>
            <w:tcW w:type="dxa" w:w="6624"/>
            <w:tcMar>
              <w:top w:w="70" w:type="dxa"/>
              <w:start w:w="90" w:type="dxa"/>
              <w:bottom w:w="70" w:type="dxa"/>
              <w:end w:w="90" w:type="dxa"/>
            </w:tcMar>
            <w:vAlign w:val="top"/>
          </w:tcPr>
          <w:p>
            <w:pPr>
              <w:spacing w:after="0" w:line="240" w:lineRule="auto"/>
            </w:pPr>
            <w:r>
              <w:rPr>
                <w:color w:val="27343C"/>
                <w:sz w:val="17"/>
              </w:rPr>
              <w:t>Explicit estimate where evidence is incomplete; state basis and closeout action.</w:t>
            </w:r>
          </w:p>
        </w:tc>
      </w:tr>
      <w:tr>
        <w:trPr>
          <w:cantSplit/>
        </w:trPr>
        <w:tc>
          <w:tcPr>
            <w:tcW w:type="dxa" w:w="2880"/>
            <w:tcMar>
              <w:top w:w="70" w:type="dxa"/>
              <w:start w:w="90" w:type="dxa"/>
              <w:bottom w:w="70" w:type="dxa"/>
              <w:end w:w="90" w:type="dxa"/>
            </w:tcMar>
            <w:vAlign w:val="top"/>
            <w:shd w:fill="FAFBFB"/>
          </w:tcPr>
          <w:p>
            <w:pPr>
              <w:spacing w:after="0" w:line="240" w:lineRule="auto"/>
            </w:pPr>
            <w:r>
              <w:rPr>
                <w:color w:val="27343C"/>
                <w:sz w:val="17"/>
              </w:rPr>
              <w:t>Excluded / By Others</w:t>
            </w:r>
          </w:p>
        </w:tc>
        <w:tc>
          <w:tcPr>
            <w:tcW w:type="dxa" w:w="6624"/>
            <w:tcMar>
              <w:top w:w="70" w:type="dxa"/>
              <w:start w:w="90" w:type="dxa"/>
              <w:bottom w:w="70" w:type="dxa"/>
              <w:end w:w="90" w:type="dxa"/>
            </w:tcMar>
            <w:vAlign w:val="top"/>
            <w:shd w:fill="FAFBFB"/>
          </w:tcPr>
          <w:p>
            <w:pPr>
              <w:spacing w:after="0" w:line="240" w:lineRule="auto"/>
            </w:pPr>
            <w:r>
              <w:rPr>
                <w:color w:val="27343C"/>
                <w:sz w:val="17"/>
              </w:rPr>
              <w:t>Not included unless later added by instruction.</w:t>
            </w:r>
          </w:p>
        </w:tc>
      </w:tr>
    </w:tbl>
    <w:p>
      <w:pPr>
        <w:spacing w:after="20"/>
      </w:pPr>
    </w:p>
    <w:p>
      <w:pPr>
        <w:pStyle w:val="Heading1"/>
        <w:pBdr>
          <w:bottom w:val="single" w:sz="5" w:space="5" w:color="D7DEE2"/>
        </w:pBdr>
      </w:pPr>
      <w:r>
        <w:t>8. Weather narrative standard</w:t>
      </w:r>
    </w:p>
    <w:p>
      <w:r>
        <w:t>Weather must be explained in practical terms. State the climate source/tool, programme period, weather-sensitive exposure, included cost categories and programme effect. The report should make clear that modelled normal weather is included in the tender basis while contractual entitlement for materially different events is governed by the contract.</w:t>
      </w:r>
    </w:p>
    <w:p>
      <w:pPr>
        <w:spacing w:before="100" w:after="160"/>
        <w:ind w:left="173"/>
        <w:pBdr>
          <w:left w:val="single" w:sz="20" w:space="8" w:color="A23B3B"/>
        </w:pBdr>
      </w:pPr>
      <w:r>
        <w:rPr>
          <w:b/>
          <w:color w:val="A23B3B"/>
        </w:rPr>
        <w:t>Prohibited wording</w:t>
        <w:br/>
      </w:r>
      <w:r>
        <w:t>Do not state or imply that every rainy day equals one lost day, that a fixed daily weather rate automatically applies, or that the estimate itself determines EOT/variation entitlement.</w:t>
      </w:r>
    </w:p>
    <w:p>
      <w:pPr>
        <w:pStyle w:val="Heading1"/>
        <w:pBdr>
          <w:bottom w:val="single" w:sz="5" w:space="5" w:color="D7DEE2"/>
        </w:pBdr>
      </w:pPr>
      <w:r>
        <w:t>9. Risk narrative standard</w:t>
      </w:r>
    </w:p>
    <w:p>
      <w:r>
        <w:t>Translate Risk Truth into a client-readable basis. For each material risk, explain what was known, how it was treated in the tender and what remains outside or provisional. Do not add a second risk allowance in the report.</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2459"/>
        <w:gridCol w:w="2459"/>
        <w:gridCol w:w="2459"/>
        <w:gridCol w:w="2459"/>
      </w:tblGrid>
      <w:tr>
        <w:trPr>
          <w:tblHeader w:val="true"/>
          <w:cantSplit/>
        </w:trPr>
        <w:tc>
          <w:tcPr>
            <w:tcW w:type="dxa" w:w="2232"/>
            <w:shd w:fill="18364A"/>
            <w:tcMar>
              <w:top w:w="75" w:type="dxa"/>
              <w:start w:w="90" w:type="dxa"/>
              <w:bottom w:w="75" w:type="dxa"/>
              <w:end w:w="90" w:type="dxa"/>
            </w:tcMar>
            <w:vAlign w:val="center"/>
          </w:tcPr>
          <w:p>
            <w:pPr>
              <w:spacing w:after="0"/>
            </w:pPr>
            <w:r>
              <w:rPr>
                <w:b/>
                <w:color w:val="FFFFFF"/>
                <w:sz w:val="16"/>
              </w:rPr>
              <w:t>Risk / uncertainty</w:t>
            </w:r>
          </w:p>
        </w:tc>
        <w:tc>
          <w:tcPr>
            <w:tcW w:type="dxa" w:w="2448"/>
            <w:shd w:fill="18364A"/>
            <w:tcMar>
              <w:top w:w="75" w:type="dxa"/>
              <w:start w:w="90" w:type="dxa"/>
              <w:bottom w:w="75" w:type="dxa"/>
              <w:end w:w="90" w:type="dxa"/>
            </w:tcMar>
            <w:vAlign w:val="center"/>
          </w:tcPr>
          <w:p>
            <w:pPr>
              <w:spacing w:after="0"/>
            </w:pPr>
            <w:r>
              <w:rPr>
                <w:b/>
                <w:color w:val="FFFFFF"/>
                <w:sz w:val="16"/>
              </w:rPr>
              <w:t>Tender baseline</w:t>
            </w:r>
          </w:p>
        </w:tc>
        <w:tc>
          <w:tcPr>
            <w:tcW w:type="dxa" w:w="2232"/>
            <w:shd w:fill="18364A"/>
            <w:tcMar>
              <w:top w:w="75" w:type="dxa"/>
              <w:start w:w="90" w:type="dxa"/>
              <w:bottom w:w="75" w:type="dxa"/>
              <w:end w:w="90" w:type="dxa"/>
            </w:tcMar>
            <w:vAlign w:val="center"/>
          </w:tcPr>
          <w:p>
            <w:pPr>
              <w:spacing w:after="0"/>
            </w:pPr>
            <w:r>
              <w:rPr>
                <w:b/>
                <w:color w:val="FFFFFF"/>
                <w:sz w:val="16"/>
              </w:rPr>
              <w:t>Treatment</w:t>
            </w:r>
          </w:p>
        </w:tc>
        <w:tc>
          <w:tcPr>
            <w:tcW w:type="dxa" w:w="2592"/>
            <w:shd w:fill="18364A"/>
            <w:tcMar>
              <w:top w:w="75" w:type="dxa"/>
              <w:start w:w="90" w:type="dxa"/>
              <w:bottom w:w="75" w:type="dxa"/>
              <w:end w:w="90" w:type="dxa"/>
            </w:tcMar>
            <w:vAlign w:val="center"/>
          </w:tcPr>
          <w:p>
            <w:pPr>
              <w:spacing w:after="0"/>
            </w:pPr>
            <w:r>
              <w:rPr>
                <w:b/>
                <w:color w:val="FFFFFF"/>
                <w:sz w:val="16"/>
              </w:rPr>
              <w:t>Outside-baseline / closeout</w:t>
            </w:r>
          </w:p>
        </w:tc>
      </w:tr>
      <w:tr>
        <w:trPr>
          <w:cantSplit/>
        </w:trPr>
        <w:tc>
          <w:tcPr>
            <w:tcW w:type="dxa" w:w="2232"/>
            <w:tcMar>
              <w:top w:w="70" w:type="dxa"/>
              <w:start w:w="90" w:type="dxa"/>
              <w:bottom w:w="70" w:type="dxa"/>
              <w:end w:w="90" w:type="dxa"/>
            </w:tcMar>
            <w:vAlign w:val="top"/>
          </w:tcPr>
          <w:p>
            <w:pPr>
              <w:spacing w:after="0" w:line="240" w:lineRule="auto"/>
            </w:pPr>
            <w:r>
              <w:rPr>
                <w:color w:val="27343C"/>
                <w:sz w:val="17"/>
              </w:rPr>
              <w:t>[example] Normal weather</w:t>
            </w:r>
          </w:p>
        </w:tc>
        <w:tc>
          <w:tcPr>
            <w:tcW w:type="dxa" w:w="2448"/>
            <w:tcMar>
              <w:top w:w="70" w:type="dxa"/>
              <w:start w:w="90" w:type="dxa"/>
              <w:bottom w:w="70" w:type="dxa"/>
              <w:end w:w="90" w:type="dxa"/>
            </w:tcMar>
            <w:vAlign w:val="top"/>
          </w:tcPr>
          <w:p>
            <w:pPr>
              <w:spacing w:after="0" w:line="240" w:lineRule="auto"/>
            </w:pPr>
            <w:r>
              <w:rPr>
                <w:color w:val="27343C"/>
                <w:sz w:val="17"/>
              </w:rPr>
              <w:t>Programme dated to stated start using approved climate tool</w:t>
            </w:r>
          </w:p>
        </w:tc>
        <w:tc>
          <w:tcPr>
            <w:tcW w:type="dxa" w:w="2232"/>
            <w:tcMar>
              <w:top w:w="70" w:type="dxa"/>
              <w:start w:w="90" w:type="dxa"/>
              <w:bottom w:w="70" w:type="dxa"/>
              <w:end w:w="90" w:type="dxa"/>
            </w:tcMar>
            <w:vAlign w:val="top"/>
          </w:tcPr>
          <w:p>
            <w:pPr>
              <w:spacing w:after="0" w:line="240" w:lineRule="auto"/>
            </w:pPr>
            <w:r>
              <w:rPr>
                <w:color w:val="27343C"/>
                <w:sz w:val="17"/>
              </w:rPr>
              <w:t>Modelled and included</w:t>
            </w:r>
          </w:p>
        </w:tc>
        <w:tc>
          <w:tcPr>
            <w:tcW w:type="dxa" w:w="2592"/>
            <w:tcMar>
              <w:top w:w="70" w:type="dxa"/>
              <w:start w:w="90" w:type="dxa"/>
              <w:bottom w:w="70" w:type="dxa"/>
              <w:end w:w="90" w:type="dxa"/>
            </w:tcMar>
            <w:vAlign w:val="top"/>
          </w:tcPr>
          <w:p>
            <w:pPr>
              <w:spacing w:after="0" w:line="240" w:lineRule="auto"/>
            </w:pPr>
            <w:r>
              <w:rPr>
                <w:color w:val="27343C"/>
                <w:sz w:val="17"/>
              </w:rPr>
              <w:t>Materially different event assessed under contract</w:t>
            </w:r>
          </w:p>
        </w:tc>
      </w:tr>
      <w:tr>
        <w:trPr>
          <w:cantSplit/>
        </w:trPr>
        <w:tc>
          <w:tcPr>
            <w:tcW w:type="dxa" w:w="2232"/>
            <w:tcMar>
              <w:top w:w="70" w:type="dxa"/>
              <w:start w:w="90" w:type="dxa"/>
              <w:bottom w:w="70" w:type="dxa"/>
              <w:end w:w="90" w:type="dxa"/>
            </w:tcMar>
            <w:vAlign w:val="top"/>
            <w:shd w:fill="FAFBFB"/>
          </w:tcPr>
          <w:p>
            <w:pPr>
              <w:spacing w:after="0" w:line="240" w:lineRule="auto"/>
            </w:pPr>
            <w:r>
              <w:rPr>
                <w:color w:val="27343C"/>
                <w:sz w:val="17"/>
              </w:rPr>
              <w:t>[example] Unsuitable ground</w:t>
            </w:r>
          </w:p>
        </w:tc>
        <w:tc>
          <w:tcPr>
            <w:tcW w:type="dxa" w:w="2448"/>
            <w:tcMar>
              <w:top w:w="70" w:type="dxa"/>
              <w:start w:w="90" w:type="dxa"/>
              <w:bottom w:w="70" w:type="dxa"/>
              <w:end w:w="90" w:type="dxa"/>
            </w:tcMar>
            <w:vAlign w:val="top"/>
            <w:shd w:fill="FAFBFB"/>
          </w:tcPr>
          <w:p>
            <w:pPr>
              <w:spacing w:after="0" w:line="240" w:lineRule="auto"/>
            </w:pPr>
            <w:r>
              <w:rPr>
                <w:color w:val="27343C"/>
                <w:sz w:val="17"/>
              </w:rPr>
              <w:t>[x] m3 provisional based on geotech</w:t>
            </w:r>
          </w:p>
        </w:tc>
        <w:tc>
          <w:tcPr>
            <w:tcW w:type="dxa" w:w="2232"/>
            <w:tcMar>
              <w:top w:w="70" w:type="dxa"/>
              <w:start w:w="90" w:type="dxa"/>
              <w:bottom w:w="70" w:type="dxa"/>
              <w:end w:w="90" w:type="dxa"/>
            </w:tcMar>
            <w:vAlign w:val="top"/>
            <w:shd w:fill="FAFBFB"/>
          </w:tcPr>
          <w:p>
            <w:pPr>
              <w:spacing w:after="0" w:line="240" w:lineRule="auto"/>
            </w:pPr>
            <w:r>
              <w:rPr>
                <w:color w:val="27343C"/>
                <w:sz w:val="17"/>
              </w:rPr>
              <w:t>Provisional quantity in QS</w:t>
            </w:r>
          </w:p>
        </w:tc>
        <w:tc>
          <w:tcPr>
            <w:tcW w:type="dxa" w:w="2592"/>
            <w:tcMar>
              <w:top w:w="70" w:type="dxa"/>
              <w:start w:w="90" w:type="dxa"/>
              <w:bottom w:w="70" w:type="dxa"/>
              <w:end w:w="90" w:type="dxa"/>
            </w:tcMar>
            <w:vAlign w:val="top"/>
            <w:shd w:fill="FAFBFB"/>
          </w:tcPr>
          <w:p>
            <w:pPr>
              <w:spacing w:after="0" w:line="240" w:lineRule="auto"/>
            </w:pPr>
            <w:r>
              <w:rPr>
                <w:color w:val="27343C"/>
                <w:sz w:val="17"/>
              </w:rPr>
              <w:t>Remeasure / geotech direction</w:t>
            </w:r>
          </w:p>
        </w:tc>
      </w:tr>
      <w:tr>
        <w:trPr>
          <w:cantSplit/>
        </w:trPr>
        <w:tc>
          <w:tcPr>
            <w:tcW w:type="dxa" w:w="2232"/>
            <w:tcMar>
              <w:top w:w="70" w:type="dxa"/>
              <w:start w:w="90" w:type="dxa"/>
              <w:bottom w:w="70" w:type="dxa"/>
              <w:end w:w="90" w:type="dxa"/>
            </w:tcMar>
            <w:vAlign w:val="top"/>
          </w:tcPr>
          <w:p>
            <w:pPr>
              <w:spacing w:after="0" w:line="240" w:lineRule="auto"/>
            </w:pPr>
            <w:r>
              <w:rPr>
                <w:color w:val="27343C"/>
                <w:sz w:val="17"/>
              </w:rPr>
              <w:t>[example] Unknown services</w:t>
            </w:r>
          </w:p>
        </w:tc>
        <w:tc>
          <w:tcPr>
            <w:tcW w:type="dxa" w:w="2448"/>
            <w:tcMar>
              <w:top w:w="70" w:type="dxa"/>
              <w:start w:w="90" w:type="dxa"/>
              <w:bottom w:w="70" w:type="dxa"/>
              <w:end w:w="90" w:type="dxa"/>
            </w:tcMar>
            <w:vAlign w:val="top"/>
          </w:tcPr>
          <w:p>
            <w:pPr>
              <w:spacing w:after="0" w:line="240" w:lineRule="auto"/>
            </w:pPr>
            <w:r>
              <w:rPr>
                <w:color w:val="27343C"/>
                <w:sz w:val="17"/>
              </w:rPr>
              <w:t>Known services as documented</w:t>
            </w:r>
          </w:p>
        </w:tc>
        <w:tc>
          <w:tcPr>
            <w:tcW w:type="dxa" w:w="2232"/>
            <w:tcMar>
              <w:top w:w="70" w:type="dxa"/>
              <w:start w:w="90" w:type="dxa"/>
              <w:bottom w:w="70" w:type="dxa"/>
              <w:end w:w="90" w:type="dxa"/>
            </w:tcMar>
            <w:vAlign w:val="top"/>
          </w:tcPr>
          <w:p>
            <w:pPr>
              <w:spacing w:after="0" w:line="240" w:lineRule="auto"/>
            </w:pPr>
            <w:r>
              <w:rPr>
                <w:color w:val="27343C"/>
                <w:sz w:val="17"/>
              </w:rPr>
              <w:t>Locate/protect allowance</w:t>
            </w:r>
          </w:p>
        </w:tc>
        <w:tc>
          <w:tcPr>
            <w:tcW w:type="dxa" w:w="2592"/>
            <w:tcMar>
              <w:top w:w="70" w:type="dxa"/>
              <w:start w:w="90" w:type="dxa"/>
              <w:bottom w:w="70" w:type="dxa"/>
              <w:end w:w="90" w:type="dxa"/>
            </w:tcMar>
            <w:vAlign w:val="top"/>
          </w:tcPr>
          <w:p>
            <w:pPr>
              <w:spacing w:after="0" w:line="240" w:lineRule="auto"/>
            </w:pPr>
            <w:r>
              <w:rPr>
                <w:color w:val="27343C"/>
                <w:sz w:val="17"/>
              </w:rPr>
              <w:t>Undocumented conflicts excluded / RFI</w:t>
            </w:r>
          </w:p>
        </w:tc>
      </w:tr>
    </w:tbl>
    <w:p>
      <w:pPr>
        <w:spacing w:after="20"/>
      </w:pPr>
    </w:p>
    <w:p>
      <w:pPr>
        <w:pStyle w:val="Heading1"/>
        <w:pBdr>
          <w:bottom w:val="single" w:sz="5" w:space="5" w:color="D7DEE2"/>
        </w:pBdr>
      </w:pPr>
      <w:r>
        <w:t>10. Programme narrative standard</w:t>
      </w:r>
    </w:p>
    <w:p>
      <w:pPr>
        <w:pStyle w:val="ListBullet"/>
      </w:pPr>
      <w:r>
        <w:t>State productive crew days, working days and elapsed calendar span separately where they differ.</w:t>
      </w:r>
    </w:p>
    <w:p>
      <w:pPr>
        <w:pStyle w:val="ListBullet"/>
      </w:pPr>
      <w:r>
        <w:t>State work week/hours/day and start-date basis.</w:t>
      </w:r>
    </w:p>
    <w:p>
      <w:pPr>
        <w:pStyle w:val="ListBullet"/>
      </w:pPr>
      <w:r>
        <w:t>Identify concurrent work fronts rather than adding every task duration together.</w:t>
      </w:r>
    </w:p>
    <w:p>
      <w:pPr>
        <w:pStyle w:val="ListBullet"/>
      </w:pPr>
      <w:r>
        <w:t>Identify critical dependencies, approvals and long leads.</w:t>
      </w:r>
    </w:p>
    <w:p>
      <w:pPr>
        <w:pStyle w:val="ListBullet"/>
      </w:pPr>
      <w:r>
        <w:t>Separate statutory holidays/shutdowns from weather delay.</w:t>
      </w:r>
    </w:p>
    <w:p>
      <w:pPr>
        <w:pStyle w:val="ListBullet"/>
      </w:pPr>
      <w:r>
        <w:t>If programme is not reconciled to time-related costs, the report is HOLD.</w:t>
      </w:r>
    </w:p>
    <w:p>
      <w:pPr>
        <w:pStyle w:val="Heading1"/>
        <w:pBdr>
          <w:bottom w:val="single" w:sz="5" w:space="5" w:color="D7DEE2"/>
        </w:pBdr>
      </w:pPr>
      <w:r>
        <w:t>11. Report status and confidence language</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4917"/>
        <w:gridCol w:w="4917"/>
      </w:tblGrid>
      <w:tr>
        <w:trPr>
          <w:tblHeader w:val="true"/>
          <w:cantSplit/>
        </w:trPr>
        <w:tc>
          <w:tcPr>
            <w:tcW w:type="dxa" w:w="3024"/>
            <w:shd w:fill="18364A"/>
            <w:tcMar>
              <w:top w:w="75" w:type="dxa"/>
              <w:start w:w="90" w:type="dxa"/>
              <w:bottom w:w="75" w:type="dxa"/>
              <w:end w:w="90" w:type="dxa"/>
            </w:tcMar>
            <w:vAlign w:val="center"/>
          </w:tcPr>
          <w:p>
            <w:pPr>
              <w:spacing w:after="0"/>
            </w:pPr>
            <w:r>
              <w:rPr>
                <w:b/>
                <w:color w:val="FFFFFF"/>
                <w:sz w:val="16"/>
              </w:rPr>
              <w:t>Internal state</w:t>
            </w:r>
          </w:p>
        </w:tc>
        <w:tc>
          <w:tcPr>
            <w:tcW w:type="dxa" w:w="6480"/>
            <w:shd w:fill="18364A"/>
            <w:tcMar>
              <w:top w:w="75" w:type="dxa"/>
              <w:start w:w="90" w:type="dxa"/>
              <w:bottom w:w="75" w:type="dxa"/>
              <w:end w:w="90" w:type="dxa"/>
            </w:tcMar>
            <w:vAlign w:val="center"/>
          </w:tcPr>
          <w:p>
            <w:pPr>
              <w:spacing w:after="0"/>
            </w:pPr>
            <w:r>
              <w:rPr>
                <w:b/>
                <w:color w:val="FFFFFF"/>
                <w:sz w:val="16"/>
              </w:rPr>
              <w:t>Client-facing report wording</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GREEN / Approved</w:t>
            </w:r>
          </w:p>
        </w:tc>
        <w:tc>
          <w:tcPr>
            <w:tcW w:type="dxa" w:w="6480"/>
            <w:tcMar>
              <w:top w:w="70" w:type="dxa"/>
              <w:start w:w="90" w:type="dxa"/>
              <w:bottom w:w="70" w:type="dxa"/>
              <w:end w:w="90" w:type="dxa"/>
            </w:tcMar>
            <w:vAlign w:val="top"/>
          </w:tcPr>
          <w:p>
            <w:pPr>
              <w:spacing w:after="0" w:line="240" w:lineRule="auto"/>
            </w:pPr>
            <w:r>
              <w:rPr>
                <w:color w:val="27343C"/>
                <w:sz w:val="17"/>
              </w:rPr>
              <w:t>Estimate issued on the stated basis; listed qualifications remain part of the tender.</w:t>
            </w:r>
          </w:p>
        </w:tc>
      </w:tr>
      <w:tr>
        <w:trPr>
          <w:cantSplit/>
        </w:trPr>
        <w:tc>
          <w:tcPr>
            <w:tcW w:type="dxa" w:w="3024"/>
            <w:tcMar>
              <w:top w:w="70" w:type="dxa"/>
              <w:start w:w="90" w:type="dxa"/>
              <w:bottom w:w="70" w:type="dxa"/>
              <w:end w:w="90" w:type="dxa"/>
            </w:tcMar>
            <w:vAlign w:val="top"/>
            <w:shd w:fill="FAFBFB"/>
          </w:tcPr>
          <w:p>
            <w:pPr>
              <w:spacing w:after="0" w:line="240" w:lineRule="auto"/>
            </w:pPr>
            <w:r>
              <w:rPr>
                <w:color w:val="27343C"/>
                <w:sz w:val="17"/>
              </w:rPr>
              <w:t>AMBER / Tender with limitations</w:t>
            </w:r>
          </w:p>
        </w:tc>
        <w:tc>
          <w:tcPr>
            <w:tcW w:type="dxa" w:w="6480"/>
            <w:tcMar>
              <w:top w:w="70" w:type="dxa"/>
              <w:start w:w="90" w:type="dxa"/>
              <w:bottom w:w="70" w:type="dxa"/>
              <w:end w:w="90" w:type="dxa"/>
            </w:tcMar>
            <w:vAlign w:val="top"/>
            <w:shd w:fill="FAFBFB"/>
          </w:tcPr>
          <w:p>
            <w:pPr>
              <w:spacing w:after="0" w:line="240" w:lineRule="auto"/>
            </w:pPr>
            <w:r>
              <w:rPr>
                <w:color w:val="27343C"/>
                <w:sz w:val="17"/>
              </w:rPr>
              <w:t>Estimate may be issued only with the identified allowances, provisional items and firm-up actions disclosed.</w:t>
            </w:r>
          </w:p>
        </w:tc>
      </w:tr>
      <w:tr>
        <w:trPr>
          <w:cantSplit/>
        </w:trPr>
        <w:tc>
          <w:tcPr>
            <w:tcW w:type="dxa" w:w="3024"/>
            <w:tcMar>
              <w:top w:w="70" w:type="dxa"/>
              <w:start w:w="90" w:type="dxa"/>
              <w:bottom w:w="70" w:type="dxa"/>
              <w:end w:w="90" w:type="dxa"/>
            </w:tcMar>
            <w:vAlign w:val="top"/>
          </w:tcPr>
          <w:p>
            <w:pPr>
              <w:spacing w:after="0" w:line="240" w:lineRule="auto"/>
            </w:pPr>
            <w:r>
              <w:rPr>
                <w:color w:val="27343C"/>
                <w:sz w:val="17"/>
              </w:rPr>
              <w:t>RED / HOLD</w:t>
            </w:r>
          </w:p>
        </w:tc>
        <w:tc>
          <w:tcPr>
            <w:tcW w:type="dxa" w:w="6480"/>
            <w:tcMar>
              <w:top w:w="70" w:type="dxa"/>
              <w:start w:w="90" w:type="dxa"/>
              <w:bottom w:w="70" w:type="dxa"/>
              <w:end w:w="90" w:type="dxa"/>
            </w:tcMar>
            <w:vAlign w:val="top"/>
          </w:tcPr>
          <w:p>
            <w:pPr>
              <w:spacing w:after="0" w:line="240" w:lineRule="auto"/>
            </w:pPr>
            <w:r>
              <w:rPr>
                <w:color w:val="27343C"/>
                <w:sz w:val="17"/>
              </w:rPr>
              <w:t>Draft / budget information only; not for tender or contract award until listed blockers are resolved, excluded or formally accepted.</w:t>
            </w:r>
          </w:p>
        </w:tc>
      </w:tr>
    </w:tbl>
    <w:p>
      <w:pPr>
        <w:spacing w:after="20"/>
      </w:pPr>
    </w:p>
    <w:p>
      <w:pPr>
        <w:pStyle w:val="Heading1"/>
        <w:pBdr>
          <w:bottom w:val="single" w:sz="5" w:space="5" w:color="D7DEE2"/>
        </w:pBdr>
      </w:pPr>
      <w:r>
        <w:t>12. Workbook-to-report mapping</w:t>
      </w:r>
    </w:p>
    <w:tbl>
      <w:tblPr>
        <w:tblW w:type="auto" w:w="0"/>
        <w:jc w:val="center"/>
        <w:tblLayout w:type="fixed"/>
        <w:tblLook w:firstColumn="1" w:firstRow="1" w:lastColumn="0" w:lastRow="0" w:noHBand="0" w:noVBand="1" w:val="04A0"/>
        <w:tblBorders>
          <w:top w:val="nil"/>
          <w:left w:val="nil"/>
          <w:bottom w:val="nil"/>
          <w:right w:val="nil"/>
          <w:insideV w:val="nil"/>
          <w:insideH w:val="single" w:sz="4" w:color="D7DEE2"/>
        </w:tblBorders>
      </w:tblPr>
      <w:tblGrid>
        <w:gridCol w:w="4917"/>
        <w:gridCol w:w="4917"/>
      </w:tblGrid>
      <w:tr>
        <w:trPr>
          <w:tblHeader w:val="true"/>
          <w:cantSplit/>
        </w:trPr>
        <w:tc>
          <w:tcPr>
            <w:tcW w:type="dxa" w:w="3528"/>
            <w:shd w:fill="18364A"/>
            <w:tcMar>
              <w:top w:w="75" w:type="dxa"/>
              <w:start w:w="90" w:type="dxa"/>
              <w:bottom w:w="75" w:type="dxa"/>
              <w:end w:w="90" w:type="dxa"/>
            </w:tcMar>
            <w:vAlign w:val="center"/>
          </w:tcPr>
          <w:p>
            <w:pPr>
              <w:spacing w:after="0"/>
            </w:pPr>
            <w:r>
              <w:rPr>
                <w:b/>
                <w:color w:val="FFFFFF"/>
                <w:sz w:val="16"/>
              </w:rPr>
              <w:t>Report section</w:t>
            </w:r>
          </w:p>
        </w:tc>
        <w:tc>
          <w:tcPr>
            <w:tcW w:type="dxa" w:w="5976"/>
            <w:shd w:fill="18364A"/>
            <w:tcMar>
              <w:top w:w="75" w:type="dxa"/>
              <w:start w:w="90" w:type="dxa"/>
              <w:bottom w:w="75" w:type="dxa"/>
              <w:end w:w="90" w:type="dxa"/>
            </w:tcMar>
            <w:vAlign w:val="center"/>
          </w:tcPr>
          <w:p>
            <w:pPr>
              <w:spacing w:after="0"/>
            </w:pPr>
            <w:r>
              <w:rPr>
                <w:b/>
                <w:color w:val="FFFFFF"/>
                <w:sz w:val="16"/>
              </w:rPr>
              <w:t>Primary workbook source</w:t>
            </w:r>
          </w:p>
        </w:tc>
      </w:tr>
      <w:tr>
        <w:trPr>
          <w:cantSplit/>
        </w:trPr>
        <w:tc>
          <w:tcPr>
            <w:tcW w:type="dxa" w:w="3528"/>
            <w:tcMar>
              <w:top w:w="70" w:type="dxa"/>
              <w:start w:w="90" w:type="dxa"/>
              <w:bottom w:w="70" w:type="dxa"/>
              <w:end w:w="90" w:type="dxa"/>
            </w:tcMar>
            <w:vAlign w:val="top"/>
          </w:tcPr>
          <w:p>
            <w:pPr>
              <w:spacing w:after="0" w:line="240" w:lineRule="auto"/>
            </w:pPr>
            <w:r>
              <w:rPr>
                <w:color w:val="27343C"/>
                <w:sz w:val="17"/>
              </w:rPr>
              <w:t>Executive summary / total</w:t>
            </w:r>
          </w:p>
        </w:tc>
        <w:tc>
          <w:tcPr>
            <w:tcW w:type="dxa" w:w="5976"/>
            <w:tcMar>
              <w:top w:w="70" w:type="dxa"/>
              <w:start w:w="90" w:type="dxa"/>
              <w:bottom w:w="70" w:type="dxa"/>
              <w:end w:w="90" w:type="dxa"/>
            </w:tcMar>
            <w:vAlign w:val="top"/>
          </w:tcPr>
          <w:p>
            <w:pPr>
              <w:spacing w:after="0" w:line="240" w:lineRule="auto"/>
            </w:pPr>
            <w:r>
              <w:rPr>
                <w:color w:val="27343C"/>
                <w:sz w:val="17"/>
              </w:rPr>
              <w:t>Summary + Tender Build-Up</w:t>
            </w:r>
          </w:p>
        </w:tc>
      </w:tr>
      <w:tr>
        <w:trPr>
          <w:cantSplit/>
        </w:trPr>
        <w:tc>
          <w:tcPr>
            <w:tcW w:type="dxa" w:w="3528"/>
            <w:tcMar>
              <w:top w:w="70" w:type="dxa"/>
              <w:start w:w="90" w:type="dxa"/>
              <w:bottom w:w="70" w:type="dxa"/>
              <w:end w:w="90" w:type="dxa"/>
            </w:tcMar>
            <w:vAlign w:val="top"/>
            <w:shd w:fill="FAFBFB"/>
          </w:tcPr>
          <w:p>
            <w:pPr>
              <w:spacing w:after="0" w:line="240" w:lineRule="auto"/>
            </w:pPr>
            <w:r>
              <w:rPr>
                <w:color w:val="27343C"/>
                <w:sz w:val="17"/>
              </w:rPr>
              <w:t>Documents</w:t>
            </w:r>
          </w:p>
        </w:tc>
        <w:tc>
          <w:tcPr>
            <w:tcW w:type="dxa" w:w="5976"/>
            <w:tcMar>
              <w:top w:w="70" w:type="dxa"/>
              <w:start w:w="90" w:type="dxa"/>
              <w:bottom w:w="70" w:type="dxa"/>
              <w:end w:w="90" w:type="dxa"/>
            </w:tcMar>
            <w:vAlign w:val="top"/>
            <w:shd w:fill="FAFBFB"/>
          </w:tcPr>
          <w:p>
            <w:pPr>
              <w:spacing w:after="0" w:line="240" w:lineRule="auto"/>
            </w:pPr>
            <w:r>
              <w:rPr>
                <w:color w:val="27343C"/>
                <w:sz w:val="17"/>
              </w:rPr>
              <w:t>Cover &amp; Instructions / document register</w:t>
            </w:r>
          </w:p>
        </w:tc>
      </w:tr>
      <w:tr>
        <w:trPr>
          <w:cantSplit/>
        </w:trPr>
        <w:tc>
          <w:tcPr>
            <w:tcW w:type="dxa" w:w="3528"/>
            <w:tcMar>
              <w:top w:w="70" w:type="dxa"/>
              <w:start w:w="90" w:type="dxa"/>
              <w:bottom w:w="70" w:type="dxa"/>
              <w:end w:w="90" w:type="dxa"/>
            </w:tcMar>
            <w:vAlign w:val="top"/>
          </w:tcPr>
          <w:p>
            <w:pPr>
              <w:spacing w:after="0" w:line="240" w:lineRule="auto"/>
            </w:pPr>
            <w:r>
              <w:rPr>
                <w:color w:val="27343C"/>
                <w:sz w:val="17"/>
              </w:rPr>
              <w:t>Scope / assumptions / exclusions / RFIs</w:t>
            </w:r>
          </w:p>
        </w:tc>
        <w:tc>
          <w:tcPr>
            <w:tcW w:type="dxa" w:w="5976"/>
            <w:tcMar>
              <w:top w:w="70" w:type="dxa"/>
              <w:start w:w="90" w:type="dxa"/>
              <w:bottom w:w="70" w:type="dxa"/>
              <w:end w:w="90" w:type="dxa"/>
            </w:tcMar>
            <w:vAlign w:val="top"/>
          </w:tcPr>
          <w:p>
            <w:pPr>
              <w:spacing w:after="0" w:line="240" w:lineRule="auto"/>
            </w:pPr>
            <w:r>
              <w:rPr>
                <w:color w:val="27343C"/>
                <w:sz w:val="17"/>
              </w:rPr>
              <w:t>Cover &amp; Instructions</w:t>
            </w:r>
          </w:p>
        </w:tc>
      </w:tr>
      <w:tr>
        <w:trPr>
          <w:cantSplit/>
        </w:trPr>
        <w:tc>
          <w:tcPr>
            <w:tcW w:type="dxa" w:w="3528"/>
            <w:tcMar>
              <w:top w:w="70" w:type="dxa"/>
              <w:start w:w="90" w:type="dxa"/>
              <w:bottom w:w="70" w:type="dxa"/>
              <w:end w:w="90" w:type="dxa"/>
            </w:tcMar>
            <w:vAlign w:val="top"/>
            <w:shd w:fill="FAFBFB"/>
          </w:tcPr>
          <w:p>
            <w:pPr>
              <w:spacing w:after="0" w:line="240" w:lineRule="auto"/>
            </w:pPr>
            <w:r>
              <w:rPr>
                <w:color w:val="27343C"/>
                <w:sz w:val="17"/>
              </w:rPr>
              <w:t>Price summary</w:t>
            </w:r>
          </w:p>
        </w:tc>
        <w:tc>
          <w:tcPr>
            <w:tcW w:type="dxa" w:w="5976"/>
            <w:tcMar>
              <w:top w:w="70" w:type="dxa"/>
              <w:start w:w="90" w:type="dxa"/>
              <w:bottom w:w="70" w:type="dxa"/>
              <w:end w:w="90" w:type="dxa"/>
            </w:tcMar>
            <w:vAlign w:val="top"/>
            <w:shd w:fill="FAFBFB"/>
          </w:tcPr>
          <w:p>
            <w:pPr>
              <w:spacing w:after="0" w:line="240" w:lineRule="auto"/>
            </w:pPr>
            <w:r>
              <w:rPr>
                <w:color w:val="27343C"/>
                <w:sz w:val="17"/>
              </w:rPr>
              <w:t>Tender Build-Up + QS Takeoff</w:t>
            </w:r>
          </w:p>
        </w:tc>
      </w:tr>
      <w:tr>
        <w:trPr>
          <w:cantSplit/>
        </w:trPr>
        <w:tc>
          <w:tcPr>
            <w:tcW w:type="dxa" w:w="3528"/>
            <w:tcMar>
              <w:top w:w="70" w:type="dxa"/>
              <w:start w:w="90" w:type="dxa"/>
              <w:bottom w:w="70" w:type="dxa"/>
              <w:end w:w="90" w:type="dxa"/>
            </w:tcMar>
            <w:vAlign w:val="top"/>
          </w:tcPr>
          <w:p>
            <w:pPr>
              <w:spacing w:after="0" w:line="240" w:lineRule="auto"/>
            </w:pPr>
            <w:r>
              <w:rPr>
                <w:color w:val="27343C"/>
                <w:sz w:val="17"/>
              </w:rPr>
              <w:t>PC/provisional/allowance register</w:t>
            </w:r>
          </w:p>
        </w:tc>
        <w:tc>
          <w:tcPr>
            <w:tcW w:type="dxa" w:w="5976"/>
            <w:tcMar>
              <w:top w:w="70" w:type="dxa"/>
              <w:start w:w="90" w:type="dxa"/>
              <w:bottom w:w="70" w:type="dxa"/>
              <w:end w:w="90" w:type="dxa"/>
            </w:tcMar>
            <w:vAlign w:val="top"/>
          </w:tcPr>
          <w:p>
            <w:pPr>
              <w:spacing w:after="0" w:line="240" w:lineRule="auto"/>
            </w:pPr>
            <w:r>
              <w:rPr>
                <w:color w:val="27343C"/>
                <w:sz w:val="17"/>
              </w:rPr>
              <w:t>QS Takeoff + Resource Build-Up + Commercial Inputs</w:t>
            </w:r>
          </w:p>
        </w:tc>
      </w:tr>
      <w:tr>
        <w:trPr>
          <w:cantSplit/>
        </w:trPr>
        <w:tc>
          <w:tcPr>
            <w:tcW w:type="dxa" w:w="3528"/>
            <w:tcMar>
              <w:top w:w="70" w:type="dxa"/>
              <w:start w:w="90" w:type="dxa"/>
              <w:bottom w:w="70" w:type="dxa"/>
              <w:end w:w="90" w:type="dxa"/>
            </w:tcMar>
            <w:vAlign w:val="top"/>
            <w:shd w:fill="FAFBFB"/>
          </w:tcPr>
          <w:p>
            <w:pPr>
              <w:spacing w:after="0" w:line="240" w:lineRule="auto"/>
            </w:pPr>
            <w:r>
              <w:rPr>
                <w:color w:val="27343C"/>
                <w:sz w:val="17"/>
              </w:rPr>
              <w:t>Programme</w:t>
            </w:r>
          </w:p>
        </w:tc>
        <w:tc>
          <w:tcPr>
            <w:tcW w:type="dxa" w:w="5976"/>
            <w:tcMar>
              <w:top w:w="70" w:type="dxa"/>
              <w:start w:w="90" w:type="dxa"/>
              <w:bottom w:w="70" w:type="dxa"/>
              <w:end w:w="90" w:type="dxa"/>
            </w:tcMar>
            <w:vAlign w:val="top"/>
            <w:shd w:fill="FAFBFB"/>
          </w:tcPr>
          <w:p>
            <w:pPr>
              <w:spacing w:after="0" w:line="240" w:lineRule="auto"/>
            </w:pPr>
            <w:r>
              <w:rPr>
                <w:color w:val="27343C"/>
                <w:sz w:val="17"/>
              </w:rPr>
              <w:t>Programme Export / live programme</w:t>
            </w:r>
          </w:p>
        </w:tc>
      </w:tr>
      <w:tr>
        <w:trPr>
          <w:cantSplit/>
        </w:trPr>
        <w:tc>
          <w:tcPr>
            <w:tcW w:type="dxa" w:w="3528"/>
            <w:tcMar>
              <w:top w:w="70" w:type="dxa"/>
              <w:start w:w="90" w:type="dxa"/>
              <w:bottom w:w="70" w:type="dxa"/>
              <w:end w:w="90" w:type="dxa"/>
            </w:tcMar>
            <w:vAlign w:val="top"/>
          </w:tcPr>
          <w:p>
            <w:pPr>
              <w:spacing w:after="0" w:line="240" w:lineRule="auto"/>
            </w:pPr>
            <w:r>
              <w:rPr>
                <w:color w:val="27343C"/>
                <w:sz w:val="17"/>
              </w:rPr>
              <w:t>Weather</w:t>
            </w:r>
          </w:p>
        </w:tc>
        <w:tc>
          <w:tcPr>
            <w:tcW w:type="dxa" w:w="5976"/>
            <w:tcMar>
              <w:top w:w="70" w:type="dxa"/>
              <w:start w:w="90" w:type="dxa"/>
              <w:bottom w:w="70" w:type="dxa"/>
              <w:end w:w="90" w:type="dxa"/>
            </w:tcMar>
            <w:vAlign w:val="top"/>
          </w:tcPr>
          <w:p>
            <w:pPr>
              <w:spacing w:after="0" w:line="240" w:lineRule="auto"/>
            </w:pPr>
            <w:r>
              <w:rPr>
                <w:color w:val="27343C"/>
                <w:sz w:val="17"/>
              </w:rPr>
              <w:t>Weather Risk</w:t>
            </w:r>
          </w:p>
        </w:tc>
      </w:tr>
      <w:tr>
        <w:trPr>
          <w:cantSplit/>
        </w:trPr>
        <w:tc>
          <w:tcPr>
            <w:tcW w:type="dxa" w:w="3528"/>
            <w:tcMar>
              <w:top w:w="70" w:type="dxa"/>
              <w:start w:w="90" w:type="dxa"/>
              <w:bottom w:w="70" w:type="dxa"/>
              <w:end w:w="90" w:type="dxa"/>
            </w:tcMar>
            <w:vAlign w:val="top"/>
            <w:shd w:fill="FAFBFB"/>
          </w:tcPr>
          <w:p>
            <w:pPr>
              <w:spacing w:after="0" w:line="240" w:lineRule="auto"/>
            </w:pPr>
            <w:r>
              <w:rPr>
                <w:color w:val="27343C"/>
                <w:sz w:val="17"/>
              </w:rPr>
              <w:t>Risk</w:t>
            </w:r>
          </w:p>
        </w:tc>
        <w:tc>
          <w:tcPr>
            <w:tcW w:type="dxa" w:w="5976"/>
            <w:tcMar>
              <w:top w:w="70" w:type="dxa"/>
              <w:start w:w="90" w:type="dxa"/>
              <w:bottom w:w="70" w:type="dxa"/>
              <w:end w:w="90" w:type="dxa"/>
            </w:tcMar>
            <w:vAlign w:val="top"/>
            <w:shd w:fill="FAFBFB"/>
          </w:tcPr>
          <w:p>
            <w:pPr>
              <w:spacing w:after="0" w:line="240" w:lineRule="auto"/>
            </w:pPr>
            <w:r>
              <w:rPr>
                <w:color w:val="27343C"/>
                <w:sz w:val="17"/>
              </w:rPr>
              <w:t>Risk Truth</w:t>
            </w:r>
          </w:p>
        </w:tc>
      </w:tr>
      <w:tr>
        <w:trPr>
          <w:cantSplit/>
        </w:trPr>
        <w:tc>
          <w:tcPr>
            <w:tcW w:type="dxa" w:w="3528"/>
            <w:tcMar>
              <w:top w:w="70" w:type="dxa"/>
              <w:start w:w="90" w:type="dxa"/>
              <w:bottom w:w="70" w:type="dxa"/>
              <w:end w:w="90" w:type="dxa"/>
            </w:tcMar>
            <w:vAlign w:val="top"/>
          </w:tcPr>
          <w:p>
            <w:pPr>
              <w:spacing w:after="0" w:line="240" w:lineRule="auto"/>
            </w:pPr>
            <w:r>
              <w:rPr>
                <w:color w:val="27343C"/>
                <w:sz w:val="17"/>
              </w:rPr>
              <w:t>Verification/release</w:t>
            </w:r>
          </w:p>
        </w:tc>
        <w:tc>
          <w:tcPr>
            <w:tcW w:type="dxa" w:w="5976"/>
            <w:tcMar>
              <w:top w:w="70" w:type="dxa"/>
              <w:start w:w="90" w:type="dxa"/>
              <w:bottom w:w="70" w:type="dxa"/>
              <w:end w:w="90" w:type="dxa"/>
            </w:tcMar>
            <w:vAlign w:val="top"/>
          </w:tcPr>
          <w:p>
            <w:pPr>
              <w:spacing w:after="0" w:line="240" w:lineRule="auto"/>
            </w:pPr>
            <w:r>
              <w:rPr>
                <w:color w:val="27343C"/>
                <w:sz w:val="17"/>
              </w:rPr>
              <w:t>Summary + Rate Verification + Risk Truth</w:t>
            </w:r>
          </w:p>
        </w:tc>
      </w:tr>
      <w:tr>
        <w:trPr>
          <w:cantSplit/>
        </w:trPr>
        <w:tc>
          <w:tcPr>
            <w:tcW w:type="dxa" w:w="3528"/>
            <w:tcMar>
              <w:top w:w="70" w:type="dxa"/>
              <w:start w:w="90" w:type="dxa"/>
              <w:bottom w:w="70" w:type="dxa"/>
              <w:end w:w="90" w:type="dxa"/>
            </w:tcMar>
            <w:vAlign w:val="top"/>
            <w:shd w:fill="FAFBFB"/>
          </w:tcPr>
          <w:p>
            <w:pPr>
              <w:spacing w:after="0" w:line="240" w:lineRule="auto"/>
            </w:pPr>
            <w:r>
              <w:rPr>
                <w:color w:val="27343C"/>
                <w:sz w:val="17"/>
              </w:rPr>
              <w:t>Attachments/revision</w:t>
            </w:r>
          </w:p>
        </w:tc>
        <w:tc>
          <w:tcPr>
            <w:tcW w:type="dxa" w:w="5976"/>
            <w:tcMar>
              <w:top w:w="70" w:type="dxa"/>
              <w:start w:w="90" w:type="dxa"/>
              <w:bottom w:w="70" w:type="dxa"/>
              <w:end w:w="90" w:type="dxa"/>
            </w:tcMar>
            <w:vAlign w:val="top"/>
            <w:shd w:fill="FAFBFB"/>
          </w:tcPr>
          <w:p>
            <w:pPr>
              <w:spacing w:after="0" w:line="240" w:lineRule="auto"/>
            </w:pPr>
            <w:r>
              <w:rPr>
                <w:color w:val="27343C"/>
                <w:sz w:val="17"/>
              </w:rPr>
              <w:t>Document Control / revision register</w:t>
            </w:r>
          </w:p>
        </w:tc>
      </w:tr>
    </w:tbl>
    <w:p>
      <w:pPr>
        <w:spacing w:after="20"/>
      </w:pPr>
    </w:p>
    <w:p>
      <w:pPr>
        <w:pStyle w:val="Heading1"/>
        <w:pBdr>
          <w:bottom w:val="single" w:sz="5" w:space="5" w:color="D7DEE2"/>
        </w:pBdr>
      </w:pPr>
      <w:r>
        <w:t>13. Mandatory pre-issue reconciliation checklist</w:t>
      </w:r>
    </w:p>
    <w:p>
      <w:pPr>
        <w:pStyle w:val="ListBullet"/>
      </w:pPr>
      <w:r>
        <w:t>Report tender total equals live workbook tender total.</w:t>
      </w:r>
    </w:p>
    <w:p>
      <w:pPr>
        <w:pStyle w:val="ListBullet"/>
      </w:pPr>
      <w:r>
        <w:t>GST basis matches tender submission.</w:t>
      </w:r>
    </w:p>
    <w:p>
      <w:pPr>
        <w:pStyle w:val="ListBullet"/>
      </w:pPr>
      <w:r>
        <w:t>Report WBS totals reconcile to the issued pricing schedule where applicable.</w:t>
      </w:r>
    </w:p>
    <w:p>
      <w:pPr>
        <w:pStyle w:val="ListBullet"/>
      </w:pPr>
      <w:r>
        <w:t>Programme revision and start/calendar match the estimate basis.</w:t>
      </w:r>
    </w:p>
    <w:p>
      <w:pPr>
        <w:pStyle w:val="ListBullet"/>
      </w:pPr>
      <w:r>
        <w:t>Weather report values equal current Weather Risk output and rerun gate is current.</w:t>
      </w:r>
    </w:p>
    <w:p>
      <w:pPr>
        <w:pStyle w:val="ListBullet"/>
      </w:pPr>
      <w:r>
        <w:t>Risk summary reflects current Risk Truth baseline and release gate.</w:t>
      </w:r>
    </w:p>
    <w:p>
      <w:pPr>
        <w:pStyle w:val="ListBullet"/>
      </w:pPr>
      <w:r>
        <w:t>PC sums/provisional quantities/allowances match the live estimate exactly.</w:t>
      </w:r>
    </w:p>
    <w:p>
      <w:pPr>
        <w:pStyle w:val="ListBullet"/>
      </w:pPr>
      <w:r>
        <w:t>All material RFIs and exclusions are carried through.</w:t>
      </w:r>
    </w:p>
    <w:p>
      <w:pPr>
        <w:pStyle w:val="ListBullet"/>
      </w:pPr>
      <w:r>
        <w:t>Document revisions match the files actually priced.</w:t>
      </w:r>
    </w:p>
    <w:p>
      <w:pPr>
        <w:pStyle w:val="ListBullet"/>
      </w:pPr>
      <w:r>
        <w:t>No internal-only commercial information is disclosed accidentally.</w:t>
      </w:r>
    </w:p>
    <w:p>
      <w:pPr>
        <w:pStyle w:val="ListBullet"/>
      </w:pPr>
      <w:r>
        <w:t>Report issue status is no better than the workbook release status.</w:t>
      </w:r>
    </w:p>
    <w:p>
      <w:pPr>
        <w:pStyle w:val="ListBullet"/>
      </w:pPr>
      <w:r>
        <w:t>Estimate, report and programme share a common revision/issue record.</w:t>
      </w:r>
    </w:p>
    <w:p>
      <w:pPr>
        <w:pStyle w:val="Heading1"/>
        <w:pBdr>
          <w:bottom w:val="single" w:sz="5" w:space="5" w:color="D7DEE2"/>
        </w:pBdr>
      </w:pPr>
      <w:r>
        <w:t>14. Standard client report template</w:t>
      </w:r>
    </w:p>
    <w:p>
      <w:r>
        <w:t>Populate the following headings for every detailed tender estimate. Sections may be shortened for smaller jobs but must not be omitted where material.</w:t>
      </w:r>
    </w:p>
    <w:p>
      <w:pPr>
        <w:pStyle w:val="Heading2"/>
      </w:pPr>
      <w:r>
        <w:t>Executive Summary</w:t>
      </w:r>
    </w:p>
    <w:p>
      <w:r>
        <w:rPr>
          <w:i/>
          <w:color w:val="7A858B"/>
        </w:rPr>
        <w:t>[Populate from controlling estimate evidence. Do not invent missing information.]</w:t>
      </w:r>
    </w:p>
    <w:p>
      <w:pPr>
        <w:pStyle w:val="Heading2"/>
      </w:pPr>
      <w:r>
        <w:t>Project Understanding</w:t>
      </w:r>
    </w:p>
    <w:p>
      <w:r>
        <w:rPr>
          <w:i/>
          <w:color w:val="7A858B"/>
        </w:rPr>
        <w:t>[Populate from controlling estimate evidence. Do not invent missing information.]</w:t>
      </w:r>
    </w:p>
    <w:p>
      <w:pPr>
        <w:pStyle w:val="Heading2"/>
      </w:pPr>
      <w:r>
        <w:t>Basis Documents</w:t>
      </w:r>
    </w:p>
    <w:p>
      <w:r>
        <w:rPr>
          <w:i/>
          <w:color w:val="7A858B"/>
        </w:rPr>
        <w:t>[Populate from controlling estimate evidence. Do not invent missing information.]</w:t>
      </w:r>
    </w:p>
    <w:p>
      <w:pPr>
        <w:pStyle w:val="Heading2"/>
      </w:pPr>
      <w:r>
        <w:t>Scope Included</w:t>
      </w:r>
    </w:p>
    <w:p>
      <w:r>
        <w:rPr>
          <w:i/>
          <w:color w:val="7A858B"/>
        </w:rPr>
        <w:t>[Populate from controlling estimate evidence. Do not invent missing information.]</w:t>
      </w:r>
    </w:p>
    <w:p>
      <w:pPr>
        <w:pStyle w:val="Heading2"/>
      </w:pPr>
      <w:r>
        <w:t>Exclusions and By Others</w:t>
      </w:r>
    </w:p>
    <w:p>
      <w:r>
        <w:rPr>
          <w:i/>
          <w:color w:val="7A858B"/>
        </w:rPr>
        <w:t>[Populate from controlling estimate evidence. Do not invent missing information.]</w:t>
      </w:r>
    </w:p>
    <w:p>
      <w:pPr>
        <w:pStyle w:val="Heading2"/>
      </w:pPr>
      <w:r>
        <w:t>Estimate Assumptions</w:t>
      </w:r>
    </w:p>
    <w:p>
      <w:r>
        <w:rPr>
          <w:i/>
          <w:color w:val="7A858B"/>
        </w:rPr>
        <w:t>[Populate from controlling estimate evidence. Do not invent missing information.]</w:t>
      </w:r>
    </w:p>
    <w:p>
      <w:pPr>
        <w:pStyle w:val="Heading2"/>
      </w:pPr>
      <w:r>
        <w:t>Pricing Basis and Summary</w:t>
      </w:r>
    </w:p>
    <w:p>
      <w:r>
        <w:rPr>
          <w:i/>
          <w:color w:val="7A858B"/>
        </w:rPr>
        <w:t>[Populate from controlling estimate evidence. Do not invent missing information.]</w:t>
      </w:r>
    </w:p>
    <w:p>
      <w:pPr>
        <w:pStyle w:val="Heading2"/>
      </w:pPr>
      <w:r>
        <w:t>Programme Basis</w:t>
      </w:r>
    </w:p>
    <w:p>
      <w:r>
        <w:rPr>
          <w:i/>
          <w:color w:val="7A858B"/>
        </w:rPr>
        <w:t>[Populate from controlling estimate evidence. Do not invent missing information.]</w:t>
      </w:r>
    </w:p>
    <w:p>
      <w:pPr>
        <w:pStyle w:val="Heading2"/>
      </w:pPr>
      <w:r>
        <w:t>Weather Basis</w:t>
      </w:r>
    </w:p>
    <w:p>
      <w:r>
        <w:rPr>
          <w:i/>
          <w:color w:val="7A858B"/>
        </w:rPr>
        <w:t>[Populate from controlling estimate evidence. Do not invent missing information.]</w:t>
      </w:r>
    </w:p>
    <w:p>
      <w:pPr>
        <w:pStyle w:val="Heading2"/>
      </w:pPr>
      <w:r>
        <w:t>Risk Basis</w:t>
      </w:r>
    </w:p>
    <w:p>
      <w:r>
        <w:rPr>
          <w:i/>
          <w:color w:val="7A858B"/>
        </w:rPr>
        <w:t>[Populate from controlling estimate evidence. Do not invent missing information.]</w:t>
      </w:r>
    </w:p>
    <w:p>
      <w:pPr>
        <w:pStyle w:val="Heading2"/>
      </w:pPr>
      <w:r>
        <w:t>PC Sums / Provisional Quantities / Allowances</w:t>
      </w:r>
    </w:p>
    <w:p>
      <w:r>
        <w:rPr>
          <w:i/>
          <w:color w:val="7A858B"/>
        </w:rPr>
        <w:t>[Populate from controlling estimate evidence. Do not invent missing information.]</w:t>
      </w:r>
    </w:p>
    <w:p>
      <w:pPr>
        <w:pStyle w:val="Heading2"/>
      </w:pPr>
      <w:r>
        <w:t>RFIs and Outstanding Information</w:t>
      </w:r>
    </w:p>
    <w:p>
      <w:r>
        <w:rPr>
          <w:i/>
          <w:color w:val="7A858B"/>
        </w:rPr>
        <w:t>[Populate from controlling estimate evidence. Do not invent missing information.]</w:t>
      </w:r>
    </w:p>
    <w:p>
      <w:pPr>
        <w:pStyle w:val="Heading2"/>
      </w:pPr>
      <w:r>
        <w:t>Verification / Confidence Position</w:t>
      </w:r>
    </w:p>
    <w:p>
      <w:r>
        <w:rPr>
          <w:i/>
          <w:color w:val="7A858B"/>
        </w:rPr>
        <w:t>[Populate from controlling estimate evidence. Do not invent missing information.]</w:t>
      </w:r>
    </w:p>
    <w:p>
      <w:pPr>
        <w:pStyle w:val="Heading2"/>
      </w:pPr>
      <w:r>
        <w:t>Tender Qualifications and Validity</w:t>
      </w:r>
    </w:p>
    <w:p>
      <w:r>
        <w:rPr>
          <w:i/>
          <w:color w:val="7A858B"/>
        </w:rPr>
        <w:t>[Populate from controlling estimate evidence. Do not invent missing information.]</w:t>
      </w:r>
    </w:p>
    <w:p>
      <w:pPr>
        <w:pStyle w:val="Heading2"/>
      </w:pPr>
      <w:r>
        <w:t>Attachments and Reconciliation</w:t>
      </w:r>
    </w:p>
    <w:p>
      <w:r>
        <w:rPr>
          <w:i/>
          <w:color w:val="7A858B"/>
        </w:rPr>
        <w:t>[Populate from controlling estimate evidence. Do not invent missing information.]</w:t>
      </w:r>
    </w:p>
    <w:p>
      <w:pPr>
        <w:pStyle w:val="Heading1"/>
        <w:pBdr>
          <w:bottom w:val="single" w:sz="5" w:space="5" w:color="D7DEE2"/>
        </w:pBdr>
      </w:pPr>
      <w:r>
        <w:t>15. Development / promotion decision</w:t>
      </w:r>
    </w:p>
    <w:p>
      <w:pPr>
        <w:spacing w:before="100" w:after="160"/>
        <w:ind w:left="173"/>
        <w:pBdr>
          <w:left w:val="single" w:sz="20" w:space="8" w:color="C77C11"/>
        </w:pBdr>
      </w:pPr>
      <w:r>
        <w:rPr>
          <w:b/>
          <w:color w:val="C77C11"/>
        </w:rPr>
        <w:t>Current status</w:t>
        <w:br/>
      </w:r>
      <w:r>
        <w:t>This Rev2 master is a development candidate. Test it against at least one real estimate, review the client-readability and Word/PDF rendering, then red-team the content for usefulness, duplication, commercial sensitivity and release controls before adding it permanently to the Master Prompt / Project Files.</w:t>
      </w:r>
    </w:p>
    <w:sectPr w:rsidR="00FC693F" w:rsidRPr="0006063C" w:rsidSect="00034616">
      <w:headerReference w:type="default" r:id="rId9"/>
      <w:footerReference w:type="default" r:id="rId10"/>
      <w:pgSz w:w="11909" w:h="16834"/>
      <w:pgMar w:top="1037" w:right="1037" w:bottom="979"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E787E"/>
        <w:sz w:val="14"/>
      </w:rPr>
      <w:t xml:space="preserve">Estimate Basis &amp; Tender Report Master  |  Rev2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63" w:val="right"/>
      </w:tabs>
      <w:spacing w:after="60"/>
      <w:pBdr>
        <w:bottom w:val="single" w:sz="5" w:space="5" w:color="D7DEE2"/>
      </w:pBdr>
    </w:pPr>
    <w:r/>
    <w:r>
      <w:rPr>
        <w:rFonts w:ascii="Arial" w:hAnsi="Arial"/>
        <w:b/>
        <w:color w:val="18364A"/>
        <w:sz w:val="14"/>
      </w:rPr>
      <w:t>ESTIMATE BASIS &amp; TENDER REPORT MASTER</w:t>
    </w:r>
    <w:r>
      <w:tab/>
    </w:r>
    <w:r>
      <w:rPr>
        <w:rFonts w:ascii="Arial" w:hAnsi="Arial"/>
        <w:b/>
        <w:color w:val="2A7772"/>
        <w:sz w:val="14"/>
      </w:rPr>
      <w:t>REV2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8364A"/>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A7772"/>
      <w:sz w:val="21"/>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7343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836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